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0D87A" w14:textId="77777777" w:rsidR="00794A8E" w:rsidRPr="005F5A16" w:rsidRDefault="00794A8E" w:rsidP="00794A8E">
      <w:pPr>
        <w:tabs>
          <w:tab w:val="left" w:pos="8151"/>
        </w:tabs>
        <w:ind w:left="-281"/>
        <w:jc w:val="center"/>
        <w:rPr>
          <w:rFonts w:ascii="Times New Roman" w:hAnsi="Times New Roman" w:cs="Times New Roman"/>
        </w:rPr>
      </w:pPr>
      <w:r w:rsidRPr="005F5A16">
        <w:rPr>
          <w:rFonts w:ascii="Times New Roman" w:hAnsi="Times New Roman" w:cs="Times New Roman"/>
          <w:noProof/>
        </w:rPr>
        <w:drawing>
          <wp:inline distT="0" distB="0" distL="0" distR="0" wp14:anchorId="0611824C" wp14:editId="68C04219">
            <wp:extent cx="4486275" cy="3343275"/>
            <wp:effectExtent l="0" t="0" r="9525" b="9525"/>
            <wp:docPr id="1616236492" name="image3.jpeg" descr="C:\Users\pc\AppData\Local\Microsoft\Windows\INetCache\Content.Word\IIIPI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6" cstate="print"/>
                    <a:stretch>
                      <a:fillRect/>
                    </a:stretch>
                  </pic:blipFill>
                  <pic:spPr>
                    <a:xfrm>
                      <a:off x="0" y="0"/>
                      <a:ext cx="4525206" cy="3372287"/>
                    </a:xfrm>
                    <a:prstGeom prst="rect">
                      <a:avLst/>
                    </a:prstGeom>
                  </pic:spPr>
                </pic:pic>
              </a:graphicData>
            </a:graphic>
          </wp:inline>
        </w:drawing>
      </w:r>
    </w:p>
    <w:p w14:paraId="42DDC279" w14:textId="77777777" w:rsidR="00794A8E" w:rsidRPr="005F5A16" w:rsidRDefault="00794A8E" w:rsidP="00794A8E">
      <w:pPr>
        <w:pStyle w:val="BodyText"/>
        <w:rPr>
          <w:rFonts w:ascii="Times New Roman" w:hAnsi="Times New Roman" w:cs="Times New Roman"/>
        </w:rPr>
      </w:pPr>
    </w:p>
    <w:p w14:paraId="507A6310" w14:textId="77777777" w:rsidR="00794A8E" w:rsidRPr="005F5A16" w:rsidRDefault="00794A8E" w:rsidP="00794A8E">
      <w:pPr>
        <w:pStyle w:val="BodyText"/>
        <w:rPr>
          <w:rFonts w:ascii="Times New Roman" w:hAnsi="Times New Roman" w:cs="Times New Roman"/>
        </w:rPr>
      </w:pPr>
    </w:p>
    <w:p w14:paraId="0237451E" w14:textId="77777777" w:rsidR="00794A8E" w:rsidRDefault="00794A8E" w:rsidP="00794A8E">
      <w:pPr>
        <w:pStyle w:val="BodyText"/>
        <w:rPr>
          <w:rFonts w:ascii="Times New Roman" w:hAnsi="Times New Roman" w:cs="Times New Roman"/>
        </w:rPr>
      </w:pPr>
    </w:p>
    <w:p w14:paraId="4BABA158" w14:textId="77777777" w:rsidR="001F249A" w:rsidRDefault="001F249A" w:rsidP="00794A8E">
      <w:pPr>
        <w:pStyle w:val="BodyText"/>
        <w:rPr>
          <w:rFonts w:ascii="Times New Roman" w:hAnsi="Times New Roman" w:cs="Times New Roman"/>
        </w:rPr>
      </w:pPr>
    </w:p>
    <w:p w14:paraId="3132B1B1" w14:textId="77777777" w:rsidR="001F249A" w:rsidRPr="005F5A16" w:rsidRDefault="001F249A" w:rsidP="00794A8E">
      <w:pPr>
        <w:pStyle w:val="BodyText"/>
        <w:rPr>
          <w:rFonts w:ascii="Times New Roman" w:hAnsi="Times New Roman" w:cs="Times New Roman"/>
        </w:rPr>
      </w:pPr>
    </w:p>
    <w:p w14:paraId="1D633D62" w14:textId="77777777" w:rsidR="00794A8E" w:rsidRPr="000B38FA" w:rsidRDefault="00794A8E" w:rsidP="00794A8E">
      <w:pPr>
        <w:pStyle w:val="BodyText"/>
        <w:spacing w:before="3"/>
        <w:rPr>
          <w:rFonts w:ascii="Book Antiqua" w:hAnsi="Book Antiqua" w:cs="Times New Roman"/>
        </w:rPr>
      </w:pPr>
    </w:p>
    <w:p w14:paraId="033695E6" w14:textId="2C0EFED8" w:rsidR="00794A8E" w:rsidRPr="000B38FA" w:rsidRDefault="005764E7" w:rsidP="005764E7">
      <w:pPr>
        <w:pStyle w:val="Title"/>
        <w:jc w:val="center"/>
        <w:rPr>
          <w:rFonts w:ascii="Book Antiqua" w:hAnsi="Book Antiqua"/>
          <w:b/>
          <w:bCs/>
          <w:sz w:val="28"/>
          <w:szCs w:val="28"/>
        </w:rPr>
      </w:pPr>
      <w:r w:rsidRPr="000B38FA">
        <w:rPr>
          <w:rFonts w:ascii="Book Antiqua" w:hAnsi="Book Antiqua"/>
          <w:b/>
          <w:bCs/>
          <w:color w:val="365F91"/>
          <w:sz w:val="28"/>
          <w:szCs w:val="28"/>
          <w:u w:color="365F91"/>
        </w:rPr>
        <w:t>Study Group Report on</w:t>
      </w:r>
    </w:p>
    <w:p w14:paraId="7979F48D" w14:textId="56535FE3" w:rsidR="00794A8E" w:rsidRPr="000B38FA" w:rsidRDefault="005764E7" w:rsidP="005764E7">
      <w:pPr>
        <w:spacing w:line="408" w:lineRule="exact"/>
        <w:ind w:left="142"/>
        <w:jc w:val="center"/>
        <w:rPr>
          <w:rFonts w:ascii="Book Antiqua" w:hAnsi="Book Antiqua" w:cs="Times New Roman"/>
          <w:b/>
          <w:bCs/>
          <w:i/>
          <w:sz w:val="28"/>
          <w:szCs w:val="28"/>
        </w:rPr>
      </w:pPr>
      <w:r w:rsidRPr="000B38FA">
        <w:rPr>
          <w:rFonts w:ascii="Book Antiqua" w:hAnsi="Book Antiqua" w:cs="Times New Roman"/>
          <w:b/>
          <w:bCs/>
          <w:color w:val="365F91"/>
          <w:sz w:val="28"/>
          <w:szCs w:val="28"/>
          <w:u w:color="365F91"/>
        </w:rPr>
        <w:t>Study on Improving the Regulatory Framework for IPs/IPEs and Strengthening the Profession</w:t>
      </w:r>
    </w:p>
    <w:p w14:paraId="56A7B5FD" w14:textId="77777777" w:rsidR="00794A8E" w:rsidRPr="005F5A16" w:rsidRDefault="00794A8E" w:rsidP="005764E7">
      <w:pPr>
        <w:pStyle w:val="BodyText"/>
        <w:jc w:val="center"/>
        <w:rPr>
          <w:rFonts w:ascii="Times New Roman" w:hAnsi="Times New Roman" w:cs="Times New Roman"/>
          <w:i/>
        </w:rPr>
      </w:pPr>
    </w:p>
    <w:p w14:paraId="7AFD92FB" w14:textId="77777777" w:rsidR="00794A8E" w:rsidRPr="005F5A16" w:rsidRDefault="00794A8E" w:rsidP="00794A8E">
      <w:pPr>
        <w:pStyle w:val="BodyText"/>
        <w:rPr>
          <w:rFonts w:ascii="Times New Roman" w:hAnsi="Times New Roman" w:cs="Times New Roman"/>
          <w:i/>
        </w:rPr>
      </w:pPr>
    </w:p>
    <w:p w14:paraId="6CFCB2D9" w14:textId="77777777" w:rsidR="00794A8E" w:rsidRPr="005F5A16" w:rsidRDefault="00794A8E" w:rsidP="00794A8E">
      <w:pPr>
        <w:pStyle w:val="BodyText"/>
        <w:rPr>
          <w:rFonts w:ascii="Times New Roman" w:hAnsi="Times New Roman" w:cs="Times New Roman"/>
          <w:i/>
        </w:rPr>
      </w:pPr>
    </w:p>
    <w:p w14:paraId="35661EDA" w14:textId="77777777" w:rsidR="00794A8E" w:rsidRPr="005F5A16" w:rsidRDefault="00794A8E" w:rsidP="00794A8E">
      <w:pPr>
        <w:pStyle w:val="BodyText"/>
        <w:rPr>
          <w:rFonts w:ascii="Times New Roman" w:hAnsi="Times New Roman" w:cs="Times New Roman"/>
          <w:i/>
        </w:rPr>
      </w:pPr>
    </w:p>
    <w:p w14:paraId="29BA59F4" w14:textId="77777777" w:rsidR="00794A8E" w:rsidRPr="005F5A16" w:rsidRDefault="00794A8E" w:rsidP="00794A8E">
      <w:pPr>
        <w:pStyle w:val="BodyText"/>
        <w:rPr>
          <w:rFonts w:ascii="Times New Roman" w:hAnsi="Times New Roman" w:cs="Times New Roman"/>
          <w:i/>
        </w:rPr>
      </w:pPr>
    </w:p>
    <w:p w14:paraId="6D19A76D" w14:textId="77777777" w:rsidR="00794A8E" w:rsidRPr="005F5A16" w:rsidRDefault="00794A8E" w:rsidP="00794A8E">
      <w:pPr>
        <w:pStyle w:val="BodyText"/>
        <w:rPr>
          <w:rFonts w:ascii="Times New Roman" w:hAnsi="Times New Roman" w:cs="Times New Roman"/>
          <w:i/>
        </w:rPr>
      </w:pPr>
    </w:p>
    <w:p w14:paraId="0C38ECDF" w14:textId="77777777" w:rsidR="00794A8E" w:rsidRPr="005F5A16" w:rsidRDefault="00794A8E" w:rsidP="00794A8E">
      <w:pPr>
        <w:pStyle w:val="BodyText"/>
        <w:rPr>
          <w:rFonts w:ascii="Times New Roman" w:hAnsi="Times New Roman" w:cs="Times New Roman"/>
          <w:i/>
        </w:rPr>
      </w:pPr>
    </w:p>
    <w:p w14:paraId="7EE3EC9E" w14:textId="77777777" w:rsidR="00794A8E" w:rsidRDefault="00794A8E" w:rsidP="00794A8E">
      <w:pPr>
        <w:pStyle w:val="BodyText"/>
        <w:spacing w:before="7"/>
        <w:rPr>
          <w:rFonts w:ascii="Times New Roman" w:hAnsi="Times New Roman" w:cs="Times New Roman"/>
          <w:i/>
        </w:rPr>
      </w:pPr>
    </w:p>
    <w:p w14:paraId="08F95FCA" w14:textId="77777777" w:rsidR="00794A8E" w:rsidRDefault="00794A8E" w:rsidP="00794A8E">
      <w:pPr>
        <w:pStyle w:val="BodyText"/>
        <w:spacing w:before="7"/>
        <w:rPr>
          <w:rFonts w:ascii="Times New Roman" w:hAnsi="Times New Roman" w:cs="Times New Roman"/>
          <w:i/>
        </w:rPr>
      </w:pPr>
    </w:p>
    <w:p w14:paraId="61DC7B8F" w14:textId="77777777" w:rsidR="00794A8E" w:rsidRDefault="00794A8E" w:rsidP="00794A8E">
      <w:pPr>
        <w:pStyle w:val="BodyText"/>
        <w:spacing w:before="7"/>
        <w:rPr>
          <w:rFonts w:ascii="Times New Roman" w:hAnsi="Times New Roman" w:cs="Times New Roman"/>
          <w:i/>
        </w:rPr>
      </w:pPr>
    </w:p>
    <w:p w14:paraId="627CF91C" w14:textId="77777777" w:rsidR="00794A8E" w:rsidRDefault="00794A8E" w:rsidP="00794A8E">
      <w:pPr>
        <w:pStyle w:val="BodyText"/>
        <w:spacing w:before="7"/>
        <w:rPr>
          <w:rFonts w:ascii="Times New Roman" w:hAnsi="Times New Roman" w:cs="Times New Roman"/>
          <w:i/>
        </w:rPr>
      </w:pPr>
    </w:p>
    <w:p w14:paraId="6F6D910B" w14:textId="77777777" w:rsidR="00794A8E" w:rsidRDefault="00794A8E" w:rsidP="00794A8E">
      <w:pPr>
        <w:pStyle w:val="BodyText"/>
        <w:spacing w:before="7"/>
        <w:rPr>
          <w:rFonts w:ascii="Times New Roman" w:hAnsi="Times New Roman" w:cs="Times New Roman"/>
          <w:i/>
        </w:rPr>
      </w:pPr>
    </w:p>
    <w:p w14:paraId="59624616" w14:textId="77777777" w:rsidR="00794A8E" w:rsidRDefault="00794A8E" w:rsidP="00794A8E">
      <w:pPr>
        <w:pStyle w:val="BodyText"/>
        <w:spacing w:before="7"/>
        <w:rPr>
          <w:rFonts w:ascii="Times New Roman" w:hAnsi="Times New Roman" w:cs="Times New Roman"/>
          <w:i/>
        </w:rPr>
      </w:pPr>
    </w:p>
    <w:p w14:paraId="2A2793D5" w14:textId="77777777" w:rsidR="00794A8E" w:rsidRDefault="00794A8E" w:rsidP="00794A8E">
      <w:pPr>
        <w:pStyle w:val="BodyText"/>
        <w:spacing w:before="7"/>
        <w:rPr>
          <w:rFonts w:ascii="Times New Roman" w:hAnsi="Times New Roman" w:cs="Times New Roman"/>
          <w:i/>
        </w:rPr>
      </w:pPr>
      <w:r>
        <w:rPr>
          <w:rFonts w:ascii="Times New Roman" w:hAnsi="Times New Roman" w:cs="Times New Roman"/>
          <w:i/>
        </w:rPr>
        <w:t xml:space="preserve"> </w:t>
      </w:r>
    </w:p>
    <w:p w14:paraId="4B5F240D" w14:textId="77777777" w:rsidR="00794A8E" w:rsidRDefault="00794A8E" w:rsidP="00794A8E">
      <w:pPr>
        <w:pStyle w:val="BodyText"/>
        <w:spacing w:before="7"/>
        <w:rPr>
          <w:rFonts w:ascii="Times New Roman" w:hAnsi="Times New Roman" w:cs="Times New Roman"/>
          <w:i/>
        </w:rPr>
      </w:pPr>
    </w:p>
    <w:p w14:paraId="1BF6E01D" w14:textId="77777777" w:rsidR="00794A8E" w:rsidRDefault="00794A8E" w:rsidP="00794A8E">
      <w:pPr>
        <w:pStyle w:val="BodyText"/>
        <w:spacing w:before="7"/>
        <w:rPr>
          <w:rFonts w:ascii="Times New Roman" w:hAnsi="Times New Roman" w:cs="Times New Roman"/>
          <w:i/>
        </w:rPr>
      </w:pPr>
    </w:p>
    <w:p w14:paraId="690086C2" w14:textId="77777777" w:rsidR="00794A8E" w:rsidRDefault="00794A8E" w:rsidP="00794A8E">
      <w:pPr>
        <w:pStyle w:val="BodyText"/>
        <w:spacing w:before="7"/>
        <w:rPr>
          <w:rFonts w:ascii="Times New Roman" w:hAnsi="Times New Roman" w:cs="Times New Roman"/>
          <w:i/>
        </w:rPr>
      </w:pPr>
    </w:p>
    <w:p w14:paraId="543EB297" w14:textId="77777777" w:rsidR="00794A8E" w:rsidRDefault="00794A8E" w:rsidP="00794A8E">
      <w:pPr>
        <w:pStyle w:val="BodyText"/>
        <w:spacing w:before="7"/>
        <w:rPr>
          <w:rFonts w:ascii="Times New Roman" w:hAnsi="Times New Roman" w:cs="Times New Roman"/>
          <w:i/>
        </w:rPr>
      </w:pPr>
    </w:p>
    <w:p w14:paraId="04563D33" w14:textId="77777777" w:rsidR="00794A8E" w:rsidRDefault="00794A8E" w:rsidP="00794A8E">
      <w:pPr>
        <w:pStyle w:val="BodyText"/>
        <w:spacing w:before="7"/>
        <w:rPr>
          <w:rFonts w:ascii="Times New Roman" w:hAnsi="Times New Roman" w:cs="Times New Roman"/>
          <w:i/>
        </w:rPr>
      </w:pPr>
    </w:p>
    <w:sdt>
      <w:sdtPr>
        <w:rPr>
          <w:rFonts w:ascii="Verdana" w:eastAsia="Verdana" w:hAnsi="Verdana" w:cs="Verdana"/>
          <w:color w:val="auto"/>
          <w:kern w:val="2"/>
          <w:sz w:val="22"/>
          <w:szCs w:val="22"/>
          <w14:ligatures w14:val="standardContextual"/>
        </w:rPr>
        <w:id w:val="1797489539"/>
        <w:docPartObj>
          <w:docPartGallery w:val="Table of Contents"/>
          <w:docPartUnique/>
        </w:docPartObj>
      </w:sdtPr>
      <w:sdtEndPr>
        <w:rPr>
          <w:rStyle w:val="Hyperlink"/>
          <w:rFonts w:asciiTheme="minorHAnsi" w:eastAsiaTheme="minorEastAsia" w:hAnsiTheme="minorHAnsi" w:cstheme="minorBidi"/>
          <w:color w:val="0563C1" w:themeColor="hyperlink"/>
          <w:spacing w:val="-3"/>
          <w:kern w:val="0"/>
          <w:sz w:val="24"/>
          <w:szCs w:val="24"/>
          <w:u w:val="single"/>
          <w14:ligatures w14:val="none"/>
        </w:rPr>
      </w:sdtEndPr>
      <w:sdtContent>
        <w:p w14:paraId="7B76880B" w14:textId="77777777" w:rsidR="00794A8E" w:rsidRDefault="00794A8E" w:rsidP="00794A8E">
          <w:pPr>
            <w:pStyle w:val="TOCHeading"/>
            <w:rPr>
              <w:rFonts w:ascii="Times New Roman" w:hAnsi="Times New Roman" w:cs="Times New Roman"/>
            </w:rPr>
          </w:pPr>
          <w:r w:rsidRPr="00BB4B1B">
            <w:rPr>
              <w:rFonts w:ascii="Times New Roman" w:hAnsi="Times New Roman" w:cs="Times New Roman"/>
            </w:rPr>
            <w:t>Contents</w:t>
          </w:r>
        </w:p>
        <w:p w14:paraId="16DA9B4F" w14:textId="77777777" w:rsidR="007D4908" w:rsidRDefault="007D4908" w:rsidP="007D4908">
          <w:pPr>
            <w:rPr>
              <w:lang w:val="en-US"/>
            </w:rPr>
          </w:pPr>
        </w:p>
        <w:p w14:paraId="131EFE6D" w14:textId="77777777" w:rsidR="007D4908" w:rsidRPr="007D4908" w:rsidRDefault="007D4908" w:rsidP="007D4908">
          <w:pPr>
            <w:rPr>
              <w:lang w:val="en-US"/>
            </w:rPr>
          </w:pPr>
        </w:p>
        <w:p w14:paraId="64B9633F" w14:textId="7FF351E5" w:rsidR="00D14F96" w:rsidRDefault="00794A8E">
          <w:pPr>
            <w:pStyle w:val="TOC1"/>
            <w:tabs>
              <w:tab w:val="left" w:pos="709"/>
              <w:tab w:val="right" w:leader="dot" w:pos="9016"/>
            </w:tabs>
            <w:rPr>
              <w:rFonts w:asciiTheme="minorHAnsi" w:eastAsiaTheme="minorEastAsia" w:hAnsiTheme="minorHAnsi" w:cstheme="minorBidi"/>
              <w:noProof/>
              <w:kern w:val="2"/>
              <w:lang w:val="en-IN" w:eastAsia="en-IN"/>
              <w14:ligatures w14:val="standardContextual"/>
            </w:rPr>
          </w:pPr>
          <w:r w:rsidRPr="00A92D57">
            <w:rPr>
              <w:rStyle w:val="Hyperlink"/>
              <w:noProof/>
              <w:spacing w:val="-3"/>
            </w:rPr>
            <w:fldChar w:fldCharType="begin"/>
          </w:r>
          <w:r w:rsidRPr="00A92D57">
            <w:rPr>
              <w:rStyle w:val="Hyperlink"/>
              <w:noProof/>
              <w:spacing w:val="-3"/>
            </w:rPr>
            <w:instrText xml:space="preserve"> TOC \o "1-3" \h \z \u </w:instrText>
          </w:r>
          <w:r w:rsidRPr="00A92D57">
            <w:rPr>
              <w:rStyle w:val="Hyperlink"/>
              <w:noProof/>
              <w:spacing w:val="-3"/>
            </w:rPr>
            <w:fldChar w:fldCharType="separate"/>
          </w:r>
          <w:hyperlink w:anchor="_Toc217034385" w:history="1">
            <w:r w:rsidR="00D14F96" w:rsidRPr="00413913">
              <w:rPr>
                <w:rStyle w:val="Hyperlink"/>
                <w:rFonts w:ascii="Times New Roman" w:hAnsi="Times New Roman" w:cs="Times New Roman"/>
                <w:noProof/>
              </w:rPr>
              <w:t>I.</w:t>
            </w:r>
            <w:r w:rsidR="00D14F96">
              <w:rPr>
                <w:rFonts w:asciiTheme="minorHAnsi" w:eastAsiaTheme="minorEastAsia" w:hAnsiTheme="minorHAnsi" w:cstheme="minorBidi"/>
                <w:noProof/>
                <w:kern w:val="2"/>
                <w:lang w:val="en-IN" w:eastAsia="en-IN"/>
                <w14:ligatures w14:val="standardContextual"/>
              </w:rPr>
              <w:tab/>
            </w:r>
            <w:r w:rsidR="00D14F96" w:rsidRPr="00413913">
              <w:rPr>
                <w:rStyle w:val="Hyperlink"/>
                <w:rFonts w:ascii="Times New Roman" w:hAnsi="Times New Roman" w:cs="Times New Roman"/>
                <w:noProof/>
              </w:rPr>
              <w:t>BACKGROUND</w:t>
            </w:r>
            <w:r w:rsidR="00D14F96">
              <w:rPr>
                <w:noProof/>
                <w:webHidden/>
              </w:rPr>
              <w:tab/>
            </w:r>
            <w:r w:rsidR="00D14F96">
              <w:rPr>
                <w:noProof/>
                <w:webHidden/>
              </w:rPr>
              <w:fldChar w:fldCharType="begin"/>
            </w:r>
            <w:r w:rsidR="00D14F96">
              <w:rPr>
                <w:noProof/>
                <w:webHidden/>
              </w:rPr>
              <w:instrText xml:space="preserve"> PAGEREF _Toc217034385 \h </w:instrText>
            </w:r>
            <w:r w:rsidR="00D14F96">
              <w:rPr>
                <w:noProof/>
                <w:webHidden/>
              </w:rPr>
            </w:r>
            <w:r w:rsidR="00D14F96">
              <w:rPr>
                <w:noProof/>
                <w:webHidden/>
              </w:rPr>
              <w:fldChar w:fldCharType="separate"/>
            </w:r>
            <w:r w:rsidR="00D14F96">
              <w:rPr>
                <w:noProof/>
                <w:webHidden/>
              </w:rPr>
              <w:t>3</w:t>
            </w:r>
            <w:r w:rsidR="00D14F96">
              <w:rPr>
                <w:noProof/>
                <w:webHidden/>
              </w:rPr>
              <w:fldChar w:fldCharType="end"/>
            </w:r>
          </w:hyperlink>
        </w:p>
        <w:p w14:paraId="372159DA" w14:textId="0A6BEBF5" w:rsidR="00D14F96" w:rsidRDefault="00D14F96">
          <w:pPr>
            <w:pStyle w:val="TOC1"/>
            <w:tabs>
              <w:tab w:val="left" w:pos="709"/>
              <w:tab w:val="right" w:leader="dot" w:pos="9016"/>
            </w:tabs>
            <w:rPr>
              <w:rFonts w:asciiTheme="minorHAnsi" w:eastAsiaTheme="minorEastAsia" w:hAnsiTheme="minorHAnsi" w:cstheme="minorBidi"/>
              <w:noProof/>
              <w:kern w:val="2"/>
              <w:lang w:val="en-IN" w:eastAsia="en-IN"/>
              <w14:ligatures w14:val="standardContextual"/>
            </w:rPr>
          </w:pPr>
          <w:hyperlink w:anchor="_Toc217034386" w:history="1">
            <w:r w:rsidRPr="00413913">
              <w:rPr>
                <w:rStyle w:val="Hyperlink"/>
                <w:noProof/>
              </w:rPr>
              <w:t>II.</w:t>
            </w:r>
            <w:r>
              <w:rPr>
                <w:rFonts w:asciiTheme="minorHAnsi" w:eastAsiaTheme="minorEastAsia" w:hAnsiTheme="minorHAnsi" w:cstheme="minorBidi"/>
                <w:noProof/>
                <w:kern w:val="2"/>
                <w:lang w:val="en-IN" w:eastAsia="en-IN"/>
                <w14:ligatures w14:val="standardContextual"/>
              </w:rPr>
              <w:tab/>
            </w:r>
            <w:r w:rsidRPr="00413913">
              <w:rPr>
                <w:rStyle w:val="Hyperlink"/>
                <w:noProof/>
              </w:rPr>
              <w:t>Issues and Way Forward related to IPs</w:t>
            </w:r>
            <w:r>
              <w:rPr>
                <w:noProof/>
                <w:webHidden/>
              </w:rPr>
              <w:tab/>
            </w:r>
            <w:r>
              <w:rPr>
                <w:noProof/>
                <w:webHidden/>
              </w:rPr>
              <w:fldChar w:fldCharType="begin"/>
            </w:r>
            <w:r>
              <w:rPr>
                <w:noProof/>
                <w:webHidden/>
              </w:rPr>
              <w:instrText xml:space="preserve"> PAGEREF _Toc217034386 \h </w:instrText>
            </w:r>
            <w:r>
              <w:rPr>
                <w:noProof/>
                <w:webHidden/>
              </w:rPr>
            </w:r>
            <w:r>
              <w:rPr>
                <w:noProof/>
                <w:webHidden/>
              </w:rPr>
              <w:fldChar w:fldCharType="separate"/>
            </w:r>
            <w:r>
              <w:rPr>
                <w:noProof/>
                <w:webHidden/>
              </w:rPr>
              <w:t>4</w:t>
            </w:r>
            <w:r>
              <w:rPr>
                <w:noProof/>
                <w:webHidden/>
              </w:rPr>
              <w:fldChar w:fldCharType="end"/>
            </w:r>
          </w:hyperlink>
        </w:p>
        <w:p w14:paraId="1580E49A" w14:textId="02D55C2D" w:rsidR="00D14F96" w:rsidRDefault="00D14F96">
          <w:pPr>
            <w:pStyle w:val="TOC1"/>
            <w:tabs>
              <w:tab w:val="left" w:pos="709"/>
              <w:tab w:val="right" w:leader="dot" w:pos="9016"/>
            </w:tabs>
            <w:rPr>
              <w:rFonts w:asciiTheme="minorHAnsi" w:eastAsiaTheme="minorEastAsia" w:hAnsiTheme="minorHAnsi" w:cstheme="minorBidi"/>
              <w:noProof/>
              <w:kern w:val="2"/>
              <w:lang w:val="en-IN" w:eastAsia="en-IN"/>
              <w14:ligatures w14:val="standardContextual"/>
            </w:rPr>
          </w:pPr>
          <w:hyperlink w:anchor="_Toc217034387" w:history="1">
            <w:r w:rsidRPr="00413913">
              <w:rPr>
                <w:rStyle w:val="Hyperlink"/>
                <w:rFonts w:cstheme="minorHAnsi"/>
                <w:noProof/>
              </w:rPr>
              <w:t>III.</w:t>
            </w:r>
            <w:r>
              <w:rPr>
                <w:rFonts w:asciiTheme="minorHAnsi" w:eastAsiaTheme="minorEastAsia" w:hAnsiTheme="minorHAnsi" w:cstheme="minorBidi"/>
                <w:noProof/>
                <w:kern w:val="2"/>
                <w:lang w:val="en-IN" w:eastAsia="en-IN"/>
                <w14:ligatures w14:val="standardContextual"/>
              </w:rPr>
              <w:tab/>
            </w:r>
            <w:r w:rsidRPr="00413913">
              <w:rPr>
                <w:rStyle w:val="Hyperlink"/>
                <w:rFonts w:cstheme="minorHAnsi"/>
                <w:noProof/>
              </w:rPr>
              <w:t>Issues and Way Forward related to IPE</w:t>
            </w:r>
            <w:r>
              <w:rPr>
                <w:noProof/>
                <w:webHidden/>
              </w:rPr>
              <w:tab/>
            </w:r>
            <w:r>
              <w:rPr>
                <w:noProof/>
                <w:webHidden/>
              </w:rPr>
              <w:fldChar w:fldCharType="begin"/>
            </w:r>
            <w:r>
              <w:rPr>
                <w:noProof/>
                <w:webHidden/>
              </w:rPr>
              <w:instrText xml:space="preserve"> PAGEREF _Toc217034387 \h </w:instrText>
            </w:r>
            <w:r>
              <w:rPr>
                <w:noProof/>
                <w:webHidden/>
              </w:rPr>
            </w:r>
            <w:r>
              <w:rPr>
                <w:noProof/>
                <w:webHidden/>
              </w:rPr>
              <w:fldChar w:fldCharType="separate"/>
            </w:r>
            <w:r>
              <w:rPr>
                <w:noProof/>
                <w:webHidden/>
              </w:rPr>
              <w:t>11</w:t>
            </w:r>
            <w:r>
              <w:rPr>
                <w:noProof/>
                <w:webHidden/>
              </w:rPr>
              <w:fldChar w:fldCharType="end"/>
            </w:r>
          </w:hyperlink>
        </w:p>
        <w:p w14:paraId="0CCEAAB6" w14:textId="38878167" w:rsidR="00D14F96" w:rsidRDefault="00D14F96">
          <w:pPr>
            <w:pStyle w:val="TOC1"/>
            <w:tabs>
              <w:tab w:val="left" w:pos="709"/>
              <w:tab w:val="right" w:leader="dot" w:pos="9016"/>
            </w:tabs>
            <w:rPr>
              <w:rFonts w:asciiTheme="minorHAnsi" w:eastAsiaTheme="minorEastAsia" w:hAnsiTheme="minorHAnsi" w:cstheme="minorBidi"/>
              <w:noProof/>
              <w:kern w:val="2"/>
              <w:lang w:val="en-IN" w:eastAsia="en-IN"/>
              <w14:ligatures w14:val="standardContextual"/>
            </w:rPr>
          </w:pPr>
          <w:hyperlink w:anchor="_Toc217034388" w:history="1">
            <w:r w:rsidRPr="00413913">
              <w:rPr>
                <w:rStyle w:val="Hyperlink"/>
                <w:noProof/>
              </w:rPr>
              <w:t>IV.</w:t>
            </w:r>
            <w:r>
              <w:rPr>
                <w:rFonts w:asciiTheme="minorHAnsi" w:eastAsiaTheme="minorEastAsia" w:hAnsiTheme="minorHAnsi" w:cstheme="minorBidi"/>
                <w:noProof/>
                <w:kern w:val="2"/>
                <w:lang w:val="en-IN" w:eastAsia="en-IN"/>
                <w14:ligatures w14:val="standardContextual"/>
              </w:rPr>
              <w:tab/>
            </w:r>
            <w:r w:rsidRPr="00413913">
              <w:rPr>
                <w:rStyle w:val="Hyperlink"/>
                <w:noProof/>
              </w:rPr>
              <w:t>Other Related Issues</w:t>
            </w:r>
            <w:r>
              <w:rPr>
                <w:noProof/>
                <w:webHidden/>
              </w:rPr>
              <w:tab/>
            </w:r>
            <w:r>
              <w:rPr>
                <w:noProof/>
                <w:webHidden/>
              </w:rPr>
              <w:fldChar w:fldCharType="begin"/>
            </w:r>
            <w:r>
              <w:rPr>
                <w:noProof/>
                <w:webHidden/>
              </w:rPr>
              <w:instrText xml:space="preserve"> PAGEREF _Toc217034388 \h </w:instrText>
            </w:r>
            <w:r>
              <w:rPr>
                <w:noProof/>
                <w:webHidden/>
              </w:rPr>
            </w:r>
            <w:r>
              <w:rPr>
                <w:noProof/>
                <w:webHidden/>
              </w:rPr>
              <w:fldChar w:fldCharType="separate"/>
            </w:r>
            <w:r>
              <w:rPr>
                <w:noProof/>
                <w:webHidden/>
              </w:rPr>
              <w:t>18</w:t>
            </w:r>
            <w:r>
              <w:rPr>
                <w:noProof/>
                <w:webHidden/>
              </w:rPr>
              <w:fldChar w:fldCharType="end"/>
            </w:r>
          </w:hyperlink>
        </w:p>
        <w:p w14:paraId="06D75494" w14:textId="6F77B585" w:rsidR="00794A8E" w:rsidRPr="00A92D57" w:rsidRDefault="00794A8E" w:rsidP="00794A8E">
          <w:pPr>
            <w:rPr>
              <w:rStyle w:val="Hyperlink"/>
              <w:noProof/>
              <w:spacing w:val="-3"/>
            </w:rPr>
          </w:pPr>
          <w:r w:rsidRPr="00A92D57">
            <w:rPr>
              <w:rStyle w:val="Hyperlink"/>
              <w:spacing w:val="-3"/>
            </w:rPr>
            <w:fldChar w:fldCharType="end"/>
          </w:r>
        </w:p>
      </w:sdtContent>
    </w:sdt>
    <w:p w14:paraId="0DD46612" w14:textId="77777777" w:rsidR="00794A8E" w:rsidRPr="00A92D57" w:rsidRDefault="00794A8E" w:rsidP="00794A8E">
      <w:pPr>
        <w:spacing w:before="78" w:after="17" w:line="276" w:lineRule="auto"/>
        <w:ind w:left="2160" w:right="2270"/>
        <w:rPr>
          <w:rStyle w:val="Hyperlink"/>
          <w:noProof/>
          <w:spacing w:val="-3"/>
        </w:rPr>
      </w:pPr>
    </w:p>
    <w:p w14:paraId="285C6BC6" w14:textId="77777777" w:rsidR="00794A8E" w:rsidRDefault="00794A8E" w:rsidP="00794A8E">
      <w:pPr>
        <w:spacing w:before="78" w:after="17" w:line="276" w:lineRule="auto"/>
        <w:ind w:left="2160" w:right="2270"/>
        <w:rPr>
          <w:rFonts w:ascii="Times New Roman" w:hAnsi="Times New Roman" w:cs="Times New Roman"/>
          <w:b/>
        </w:rPr>
      </w:pPr>
    </w:p>
    <w:p w14:paraId="7C9F5D59" w14:textId="77777777" w:rsidR="00794A8E" w:rsidRDefault="00794A8E" w:rsidP="00794A8E">
      <w:pPr>
        <w:spacing w:before="78" w:after="17" w:line="276" w:lineRule="auto"/>
        <w:ind w:left="2160" w:right="2270"/>
        <w:rPr>
          <w:rFonts w:ascii="Times New Roman" w:hAnsi="Times New Roman" w:cs="Times New Roman"/>
          <w:b/>
        </w:rPr>
      </w:pPr>
    </w:p>
    <w:p w14:paraId="08CD180C" w14:textId="77777777" w:rsidR="00794A8E" w:rsidRDefault="00794A8E" w:rsidP="00794A8E">
      <w:pPr>
        <w:spacing w:before="78" w:after="17" w:line="276" w:lineRule="auto"/>
        <w:ind w:left="2160" w:right="2270"/>
        <w:rPr>
          <w:rFonts w:ascii="Times New Roman" w:hAnsi="Times New Roman" w:cs="Times New Roman"/>
          <w:b/>
        </w:rPr>
      </w:pPr>
    </w:p>
    <w:p w14:paraId="3F202973" w14:textId="77777777" w:rsidR="00794A8E" w:rsidRDefault="00794A8E" w:rsidP="00794A8E">
      <w:pPr>
        <w:spacing w:before="78" w:after="17" w:line="276" w:lineRule="auto"/>
        <w:ind w:left="2160" w:right="2270"/>
        <w:rPr>
          <w:rFonts w:ascii="Times New Roman" w:hAnsi="Times New Roman" w:cs="Times New Roman"/>
          <w:b/>
        </w:rPr>
      </w:pPr>
    </w:p>
    <w:p w14:paraId="4FE2F73E" w14:textId="77777777" w:rsidR="00794A8E" w:rsidRDefault="00794A8E" w:rsidP="00794A8E">
      <w:pPr>
        <w:spacing w:before="78" w:after="17" w:line="276" w:lineRule="auto"/>
        <w:ind w:left="2160" w:right="2270"/>
        <w:rPr>
          <w:rFonts w:ascii="Times New Roman" w:hAnsi="Times New Roman" w:cs="Times New Roman"/>
          <w:b/>
        </w:rPr>
      </w:pPr>
    </w:p>
    <w:p w14:paraId="5133F6E4" w14:textId="77777777" w:rsidR="00794A8E" w:rsidRDefault="00794A8E" w:rsidP="00794A8E">
      <w:pPr>
        <w:spacing w:before="78" w:after="17" w:line="276" w:lineRule="auto"/>
        <w:ind w:left="2160" w:right="2270"/>
        <w:rPr>
          <w:rFonts w:ascii="Times New Roman" w:hAnsi="Times New Roman" w:cs="Times New Roman"/>
          <w:b/>
        </w:rPr>
      </w:pPr>
    </w:p>
    <w:p w14:paraId="51935BD9" w14:textId="77777777" w:rsidR="00794A8E" w:rsidRDefault="00794A8E" w:rsidP="00794A8E">
      <w:pPr>
        <w:spacing w:before="78" w:after="17" w:line="276" w:lineRule="auto"/>
        <w:ind w:left="2160" w:right="2270"/>
        <w:rPr>
          <w:rFonts w:ascii="Times New Roman" w:hAnsi="Times New Roman" w:cs="Times New Roman"/>
          <w:b/>
        </w:rPr>
      </w:pPr>
    </w:p>
    <w:p w14:paraId="1D377790" w14:textId="77777777" w:rsidR="00794A8E" w:rsidRDefault="00794A8E" w:rsidP="00794A8E">
      <w:pPr>
        <w:spacing w:before="78" w:after="17" w:line="276" w:lineRule="auto"/>
        <w:ind w:left="2160" w:right="2270"/>
        <w:rPr>
          <w:rFonts w:ascii="Times New Roman" w:hAnsi="Times New Roman" w:cs="Times New Roman"/>
          <w:b/>
        </w:rPr>
      </w:pPr>
    </w:p>
    <w:p w14:paraId="73F2A015" w14:textId="77777777" w:rsidR="00794A8E" w:rsidRDefault="00794A8E" w:rsidP="00794A8E">
      <w:pPr>
        <w:spacing w:before="78" w:after="17" w:line="276" w:lineRule="auto"/>
        <w:ind w:left="2160" w:right="2270"/>
        <w:rPr>
          <w:rFonts w:ascii="Times New Roman" w:hAnsi="Times New Roman" w:cs="Times New Roman"/>
          <w:b/>
        </w:rPr>
      </w:pPr>
    </w:p>
    <w:p w14:paraId="3DF43E7D" w14:textId="77777777" w:rsidR="00794A8E" w:rsidRDefault="00794A8E" w:rsidP="00794A8E">
      <w:pPr>
        <w:spacing w:before="78" w:after="17" w:line="276" w:lineRule="auto"/>
        <w:ind w:left="2160" w:right="2270"/>
        <w:rPr>
          <w:rFonts w:ascii="Times New Roman" w:hAnsi="Times New Roman" w:cs="Times New Roman"/>
          <w:b/>
        </w:rPr>
      </w:pPr>
    </w:p>
    <w:p w14:paraId="5E0E1ACC" w14:textId="77777777" w:rsidR="00794A8E" w:rsidRDefault="00794A8E" w:rsidP="00794A8E">
      <w:pPr>
        <w:spacing w:before="78" w:after="17" w:line="276" w:lineRule="auto"/>
        <w:ind w:left="2160" w:right="2270"/>
        <w:rPr>
          <w:rFonts w:ascii="Times New Roman" w:hAnsi="Times New Roman" w:cs="Times New Roman"/>
          <w:b/>
        </w:rPr>
      </w:pPr>
    </w:p>
    <w:p w14:paraId="5E26F8B2" w14:textId="77777777" w:rsidR="00794A8E" w:rsidRDefault="00794A8E" w:rsidP="00794A8E">
      <w:pPr>
        <w:spacing w:before="78" w:after="17" w:line="276" w:lineRule="auto"/>
        <w:ind w:left="2160" w:right="2270"/>
        <w:rPr>
          <w:rFonts w:ascii="Times New Roman" w:hAnsi="Times New Roman" w:cs="Times New Roman"/>
          <w:b/>
        </w:rPr>
      </w:pPr>
    </w:p>
    <w:p w14:paraId="181FB6C8" w14:textId="77777777" w:rsidR="00794A8E" w:rsidRDefault="00794A8E" w:rsidP="00794A8E">
      <w:pPr>
        <w:spacing w:before="78" w:after="17" w:line="276" w:lineRule="auto"/>
        <w:ind w:left="2160" w:right="2270"/>
        <w:rPr>
          <w:rFonts w:ascii="Times New Roman" w:hAnsi="Times New Roman" w:cs="Times New Roman"/>
          <w:b/>
        </w:rPr>
      </w:pPr>
    </w:p>
    <w:p w14:paraId="13B3E2A3" w14:textId="77777777" w:rsidR="00794A8E" w:rsidRDefault="00794A8E" w:rsidP="00794A8E">
      <w:pPr>
        <w:spacing w:before="78" w:after="17" w:line="276" w:lineRule="auto"/>
        <w:ind w:left="2160" w:right="2270"/>
        <w:rPr>
          <w:rFonts w:ascii="Times New Roman" w:hAnsi="Times New Roman" w:cs="Times New Roman"/>
          <w:b/>
        </w:rPr>
      </w:pPr>
    </w:p>
    <w:p w14:paraId="770A41BB" w14:textId="77777777" w:rsidR="00794A8E" w:rsidRDefault="00794A8E" w:rsidP="00794A8E">
      <w:pPr>
        <w:spacing w:before="78" w:after="17" w:line="276" w:lineRule="auto"/>
        <w:ind w:left="2160" w:right="2270"/>
        <w:rPr>
          <w:rFonts w:ascii="Times New Roman" w:hAnsi="Times New Roman" w:cs="Times New Roman"/>
          <w:b/>
        </w:rPr>
      </w:pPr>
    </w:p>
    <w:p w14:paraId="5F889DD0" w14:textId="77777777" w:rsidR="00794A8E" w:rsidRDefault="00794A8E" w:rsidP="00794A8E">
      <w:pPr>
        <w:spacing w:before="78" w:after="17" w:line="276" w:lineRule="auto"/>
        <w:ind w:left="2160" w:right="2270"/>
        <w:rPr>
          <w:rFonts w:ascii="Times New Roman" w:hAnsi="Times New Roman" w:cs="Times New Roman"/>
          <w:b/>
        </w:rPr>
      </w:pPr>
    </w:p>
    <w:p w14:paraId="171B3092" w14:textId="77777777" w:rsidR="00794A8E" w:rsidRDefault="00794A8E" w:rsidP="00794A8E">
      <w:pPr>
        <w:spacing w:before="78" w:after="17" w:line="276" w:lineRule="auto"/>
        <w:ind w:left="2160" w:right="2270"/>
        <w:rPr>
          <w:rFonts w:ascii="Times New Roman" w:hAnsi="Times New Roman" w:cs="Times New Roman"/>
          <w:b/>
        </w:rPr>
      </w:pPr>
    </w:p>
    <w:p w14:paraId="09231C1F" w14:textId="77777777" w:rsidR="00794A8E" w:rsidRDefault="00794A8E" w:rsidP="00794A8E">
      <w:pPr>
        <w:spacing w:before="78" w:after="17" w:line="276" w:lineRule="auto"/>
        <w:ind w:left="2160" w:right="2270"/>
        <w:rPr>
          <w:rFonts w:ascii="Times New Roman" w:hAnsi="Times New Roman" w:cs="Times New Roman"/>
          <w:b/>
        </w:rPr>
      </w:pPr>
    </w:p>
    <w:p w14:paraId="22FA84E4" w14:textId="77777777" w:rsidR="00794A8E" w:rsidRDefault="00794A8E" w:rsidP="00794A8E">
      <w:pPr>
        <w:spacing w:before="78" w:after="17" w:line="276" w:lineRule="auto"/>
        <w:ind w:left="2160" w:right="2270"/>
        <w:rPr>
          <w:rFonts w:ascii="Times New Roman" w:hAnsi="Times New Roman" w:cs="Times New Roman"/>
          <w:b/>
        </w:rPr>
      </w:pPr>
    </w:p>
    <w:p w14:paraId="7FC8D812" w14:textId="77777777" w:rsidR="00794A8E" w:rsidRDefault="00794A8E" w:rsidP="00794A8E">
      <w:pPr>
        <w:spacing w:before="78" w:after="17" w:line="276" w:lineRule="auto"/>
        <w:ind w:left="2160" w:right="2270"/>
        <w:rPr>
          <w:rFonts w:ascii="Times New Roman" w:hAnsi="Times New Roman" w:cs="Times New Roman"/>
          <w:b/>
        </w:rPr>
      </w:pPr>
    </w:p>
    <w:p w14:paraId="5716220C" w14:textId="77777777" w:rsidR="00794A8E" w:rsidRDefault="00794A8E" w:rsidP="00794A8E">
      <w:pPr>
        <w:spacing w:before="78" w:after="17" w:line="276" w:lineRule="auto"/>
        <w:ind w:left="2160" w:right="2270"/>
        <w:rPr>
          <w:rFonts w:ascii="Times New Roman" w:hAnsi="Times New Roman" w:cs="Times New Roman"/>
          <w:b/>
        </w:rPr>
      </w:pPr>
    </w:p>
    <w:p w14:paraId="07251BC7" w14:textId="77777777" w:rsidR="00794A8E" w:rsidRDefault="00794A8E" w:rsidP="00794A8E">
      <w:pPr>
        <w:spacing w:before="78" w:after="17" w:line="276" w:lineRule="auto"/>
        <w:ind w:left="2160" w:right="2270"/>
        <w:rPr>
          <w:rFonts w:ascii="Times New Roman" w:hAnsi="Times New Roman" w:cs="Times New Roman"/>
          <w:b/>
        </w:rPr>
      </w:pPr>
    </w:p>
    <w:p w14:paraId="35A7469C" w14:textId="77777777" w:rsidR="00794A8E" w:rsidRDefault="00794A8E" w:rsidP="00794A8E">
      <w:pPr>
        <w:spacing w:before="78" w:after="17" w:line="276" w:lineRule="auto"/>
        <w:ind w:left="2160" w:right="2270"/>
        <w:rPr>
          <w:rFonts w:ascii="Times New Roman" w:hAnsi="Times New Roman" w:cs="Times New Roman"/>
          <w:b/>
        </w:rPr>
      </w:pPr>
    </w:p>
    <w:p w14:paraId="6D4C93AE" w14:textId="77777777" w:rsidR="00794A8E" w:rsidRDefault="00794A8E" w:rsidP="00794A8E">
      <w:pPr>
        <w:spacing w:before="78" w:after="17" w:line="276" w:lineRule="auto"/>
        <w:ind w:left="2160" w:right="2270"/>
        <w:rPr>
          <w:rFonts w:ascii="Times New Roman" w:hAnsi="Times New Roman" w:cs="Times New Roman"/>
          <w:b/>
        </w:rPr>
      </w:pPr>
    </w:p>
    <w:p w14:paraId="11E7EC4B" w14:textId="77777777" w:rsidR="000B38FA" w:rsidRDefault="000B38FA" w:rsidP="00794A8E">
      <w:pPr>
        <w:spacing w:before="78" w:after="17" w:line="276" w:lineRule="auto"/>
        <w:ind w:left="2160" w:right="2270"/>
        <w:rPr>
          <w:rFonts w:ascii="Times New Roman" w:hAnsi="Times New Roman" w:cs="Times New Roman"/>
          <w:b/>
        </w:rPr>
      </w:pPr>
    </w:p>
    <w:p w14:paraId="30D8F447" w14:textId="1AC9BEE2" w:rsidR="000B38FA" w:rsidRPr="000B38FA" w:rsidRDefault="00D14F96" w:rsidP="000B38FA">
      <w:pPr>
        <w:spacing w:line="408" w:lineRule="exact"/>
        <w:ind w:left="142"/>
        <w:jc w:val="center"/>
        <w:rPr>
          <w:rFonts w:ascii="Book Antiqua" w:hAnsi="Book Antiqua" w:cs="Times New Roman"/>
          <w:b/>
          <w:bCs/>
          <w:i/>
          <w:sz w:val="28"/>
          <w:szCs w:val="28"/>
        </w:rPr>
      </w:pPr>
      <w:r>
        <w:rPr>
          <w:rFonts w:ascii="Book Antiqua" w:hAnsi="Book Antiqua" w:cs="Times New Roman"/>
          <w:b/>
          <w:bCs/>
          <w:color w:val="365F91"/>
          <w:sz w:val="28"/>
          <w:szCs w:val="28"/>
          <w:u w:color="365F91"/>
        </w:rPr>
        <w:lastRenderedPageBreak/>
        <w:t>Report</w:t>
      </w:r>
      <w:r w:rsidR="000B38FA" w:rsidRPr="000B38FA">
        <w:rPr>
          <w:rFonts w:ascii="Book Antiqua" w:hAnsi="Book Antiqua" w:cs="Times New Roman"/>
          <w:b/>
          <w:bCs/>
          <w:color w:val="365F91"/>
          <w:sz w:val="28"/>
          <w:szCs w:val="28"/>
          <w:u w:color="365F91"/>
        </w:rPr>
        <w:t xml:space="preserve"> on Improving the Regulatory Framework for IPs/IPEs and Strengthening the Profession</w:t>
      </w:r>
    </w:p>
    <w:p w14:paraId="53CE1B8B" w14:textId="77777777" w:rsidR="000B38FA" w:rsidRDefault="000B38FA" w:rsidP="00794A8E">
      <w:pPr>
        <w:spacing w:before="78" w:after="17" w:line="276" w:lineRule="auto"/>
        <w:ind w:left="2160" w:right="2270"/>
        <w:rPr>
          <w:rFonts w:ascii="Times New Roman" w:hAnsi="Times New Roman" w:cs="Times New Roman"/>
          <w:b/>
        </w:rPr>
      </w:pPr>
    </w:p>
    <w:p w14:paraId="483ADD01" w14:textId="77777777" w:rsidR="000B38FA" w:rsidRDefault="000B38FA" w:rsidP="00794A8E">
      <w:pPr>
        <w:spacing w:before="78" w:after="17" w:line="276" w:lineRule="auto"/>
        <w:ind w:left="2160" w:right="2270"/>
        <w:rPr>
          <w:rFonts w:ascii="Times New Roman" w:hAnsi="Times New Roman" w:cs="Times New Roman"/>
          <w:b/>
        </w:rPr>
      </w:pPr>
    </w:p>
    <w:p w14:paraId="1AECB612" w14:textId="6C704758" w:rsidR="00794A8E" w:rsidRPr="007D4908" w:rsidRDefault="009C561E" w:rsidP="00794A8E">
      <w:pPr>
        <w:pStyle w:val="Heading1"/>
        <w:numPr>
          <w:ilvl w:val="0"/>
          <w:numId w:val="13"/>
        </w:numPr>
        <w:tabs>
          <w:tab w:val="num" w:pos="360"/>
        </w:tabs>
        <w:ind w:left="0" w:firstLine="0"/>
        <w:rPr>
          <w:rFonts w:ascii="Times New Roman" w:hAnsi="Times New Roman" w:cs="Times New Roman"/>
          <w:sz w:val="36"/>
          <w:szCs w:val="36"/>
        </w:rPr>
      </w:pPr>
      <w:r>
        <w:rPr>
          <w:rFonts w:ascii="Times New Roman" w:hAnsi="Times New Roman" w:cs="Times New Roman"/>
          <w:sz w:val="36"/>
          <w:szCs w:val="36"/>
        </w:rPr>
        <w:t xml:space="preserve">  </w:t>
      </w:r>
      <w:bookmarkStart w:id="0" w:name="_Toc217034385"/>
      <w:r w:rsidR="00794A8E" w:rsidRPr="007D4908">
        <w:rPr>
          <w:rFonts w:ascii="Times New Roman" w:hAnsi="Times New Roman" w:cs="Times New Roman"/>
          <w:sz w:val="36"/>
          <w:szCs w:val="36"/>
        </w:rPr>
        <w:t>BACKGROUND</w:t>
      </w:r>
      <w:bookmarkEnd w:id="0"/>
    </w:p>
    <w:p w14:paraId="19DAF582" w14:textId="7605AD59" w:rsidR="00581EF4" w:rsidRDefault="00581EF4" w:rsidP="00581EF4">
      <w:pPr>
        <w:jc w:val="both"/>
      </w:pPr>
      <w:r>
        <w:t>I</w:t>
      </w:r>
      <w:r w:rsidRPr="001C15F4">
        <w:t>nsolvency Professionals (IPs) play a vital role in improving the effectiveness of the Insolvency and Bankruptcy Code (IBC). They act as neutral facilitators responsible for managing the</w:t>
      </w:r>
      <w:r>
        <w:t xml:space="preserve"> corporate </w:t>
      </w:r>
      <w:r w:rsidRPr="001C15F4">
        <w:t xml:space="preserve">debtor’s affairs, preserving asset value, and ensuring transparency </w:t>
      </w:r>
      <w:r w:rsidR="00C93D38" w:rsidRPr="001C15F4">
        <w:t>through</w:t>
      </w:r>
      <w:r w:rsidR="00C93D38">
        <w:t>o</w:t>
      </w:r>
      <w:r w:rsidR="00C93D38" w:rsidRPr="001C15F4">
        <w:t>ut</w:t>
      </w:r>
      <w:r w:rsidRPr="001C15F4">
        <w:t xml:space="preserve"> the resolution process. By conducting fair evaluations, coordinating with stakeholders, and upholding strict timelines, IPs help strengthen the efficiency, credibility, and overall success of the IBC framework.</w:t>
      </w:r>
    </w:p>
    <w:p w14:paraId="6B5E398E" w14:textId="4BCC7F45" w:rsidR="00AF3E89" w:rsidRDefault="00475AD8" w:rsidP="00475AD8">
      <w:pPr>
        <w:jc w:val="both"/>
      </w:pPr>
      <w:r>
        <w:t>Since the insolvency law in India has been evolving at fast pace, it is important to understand the challenges faced by IPs on ground, on a regular basis with a view to continuously strengthen the ecosystem.  However, there have been concerns about well-rounded</w:t>
      </w:r>
      <w:r w:rsidRPr="00EE359B">
        <w:t xml:space="preserve"> development of the insolvency profession</w:t>
      </w:r>
      <w:r>
        <w:t>, deliberated more specifically in the report.</w:t>
      </w:r>
      <w:r w:rsidRPr="00EE359B">
        <w:t>   </w:t>
      </w:r>
      <w:r>
        <w:t>Overall, there are currently 4</w:t>
      </w:r>
      <w:r w:rsidR="007D4908">
        <w:t>478</w:t>
      </w:r>
      <w:r>
        <w:t xml:space="preserve"> nos. of IPs and 9</w:t>
      </w:r>
      <w:r w:rsidR="007D4908">
        <w:t>6</w:t>
      </w:r>
      <w:r>
        <w:t xml:space="preserve"> nos. of IPEs (as juristic IPs) registered in the ecosystem.  Over the past few years, the rate of fresh registrations as IPs has been tapering off, while several registered professionals have surrendered or are considering to surrender their membership and/or AFA.  This untoward development warrants closure scrutiny of underlying issues, with a view to finding solutions thereto.</w:t>
      </w:r>
    </w:p>
    <w:p w14:paraId="3DF4971C" w14:textId="77777777" w:rsidR="000B170B" w:rsidRPr="00AF3E89" w:rsidRDefault="00AF3E89" w:rsidP="000B170B">
      <w:pPr>
        <w:spacing w:line="259" w:lineRule="auto"/>
        <w:jc w:val="both"/>
      </w:pPr>
      <w:r w:rsidRPr="00AF3E89">
        <w:t xml:space="preserve">In the </w:t>
      </w:r>
      <w:r w:rsidR="000B170B" w:rsidRPr="00AF3E89">
        <w:t xml:space="preserve">evolving landscape </w:t>
      </w:r>
      <w:r w:rsidR="000B170B">
        <w:t xml:space="preserve">of </w:t>
      </w:r>
      <w:r w:rsidRPr="00AF3E89">
        <w:t>IBC ecosystem, Insolvency Professionals (IPs) operate under increasing scrutiny and a growing list of compliances. Frequent regulatory changes, enhanced reporting requirements, and tighter oversight by the IBBI, CoC, and judiciary demand continuous vigilance and professional discipline. IPs must ensure strict adherence to timelines, maintain detailed documentation, and follow due-process standards while facing pressures from multiple stakeholders. At the same time, issues like inadequate information flow, complex asset valuation, stakeholder conflicts, and resource constraints complicate their role. Together, these challenges highlight the need for stronger institutional support, clearer guidelines, and a more coordinated ecosystem to enable IPs to effectively discharge their responsibilities under the evolving IBC framework.</w:t>
      </w:r>
      <w:r w:rsidR="000B170B">
        <w:t xml:space="preserve"> </w:t>
      </w:r>
      <w:r w:rsidR="000B170B" w:rsidRPr="00AF3E89">
        <w:t>Together, these issues make effective insolvency resolution increasingly demanding for IPs.</w:t>
      </w:r>
    </w:p>
    <w:p w14:paraId="1F578A58" w14:textId="77777777" w:rsidR="000B170B" w:rsidRPr="00EE359B" w:rsidRDefault="000B170B" w:rsidP="000B170B">
      <w:pPr>
        <w:jc w:val="both"/>
      </w:pPr>
      <w:r>
        <w:t>However, of late, there have been concerns about the well-rounded</w:t>
      </w:r>
      <w:r w:rsidRPr="00EE359B">
        <w:t xml:space="preserve"> development of the insolvency profession</w:t>
      </w:r>
      <w:r>
        <w:t>.</w:t>
      </w:r>
      <w:r w:rsidRPr="00EE359B">
        <w:t xml:space="preserve">   Such concerns </w:t>
      </w:r>
      <w:r>
        <w:t xml:space="preserve">and their root causes </w:t>
      </w:r>
      <w:r w:rsidRPr="00EE359B">
        <w:t>may be summarized as follows:</w:t>
      </w:r>
    </w:p>
    <w:p w14:paraId="7C631421" w14:textId="77777777" w:rsidR="000B170B" w:rsidRDefault="000B170B" w:rsidP="000B170B">
      <w:pPr>
        <w:numPr>
          <w:ilvl w:val="0"/>
          <w:numId w:val="31"/>
        </w:numPr>
        <w:jc w:val="both"/>
      </w:pPr>
      <w:r w:rsidRPr="00EE359B">
        <w:t xml:space="preserve">Significant dip in new entrants in insolvency profession.   Annual ‘average’ no. of new IP entrants (across 3 IPAs) during a period of 3 years (from FY 19-20 to FY 21-22) has been ~536 IPs.   Such intake, however, declined to 209 (FY 22-23), 116 (FY 23-24) and </w:t>
      </w:r>
      <w:r>
        <w:t>114</w:t>
      </w:r>
      <w:r w:rsidRPr="00EE359B">
        <w:t xml:space="preserve"> (FY </w:t>
      </w:r>
      <w:r w:rsidRPr="00EE359B">
        <w:lastRenderedPageBreak/>
        <w:t>24-25</w:t>
      </w:r>
      <w:r>
        <w:t>).  Further, 27 exits were recorded during FY 24-25, mainly by way of failing to fulfil ‘fit &amp; proper’ criterion and disciplinary action</w:t>
      </w:r>
      <w:r w:rsidRPr="00EE359B">
        <w:t>.</w:t>
      </w:r>
      <w:r>
        <w:t xml:space="preserve">   </w:t>
      </w:r>
    </w:p>
    <w:p w14:paraId="00081EBE" w14:textId="77777777" w:rsidR="000B170B" w:rsidRPr="00EE359B" w:rsidRDefault="000B170B" w:rsidP="000B170B">
      <w:pPr>
        <w:numPr>
          <w:ilvl w:val="0"/>
          <w:numId w:val="31"/>
        </w:numPr>
        <w:jc w:val="both"/>
      </w:pPr>
      <w:r>
        <w:t>Over 100 members (across 3 IPAs) have surrendered their memberships so far.</w:t>
      </w:r>
    </w:p>
    <w:p w14:paraId="5290101A" w14:textId="77777777" w:rsidR="000B170B" w:rsidRPr="00EE359B" w:rsidRDefault="000B170B" w:rsidP="000B170B">
      <w:pPr>
        <w:numPr>
          <w:ilvl w:val="0"/>
          <w:numId w:val="31"/>
        </w:numPr>
        <w:jc w:val="both"/>
      </w:pPr>
      <w:r w:rsidRPr="00EE359B">
        <w:t>Existing professionals are not interested in continuing, as reflected in significant nos. of fee defaulters.   This is despite the fact that I</w:t>
      </w:r>
      <w:r>
        <w:t xml:space="preserve">PAs </w:t>
      </w:r>
      <w:r w:rsidRPr="00EE359B">
        <w:t>ha</w:t>
      </w:r>
      <w:r>
        <w:t>ve</w:t>
      </w:r>
      <w:r w:rsidRPr="00EE359B">
        <w:t xml:space="preserve"> reduced the membership fee (for non-practicing members) from Rs.10000/- to Rs.5000/- </w:t>
      </w:r>
      <w:r>
        <w:t>recently</w:t>
      </w:r>
      <w:r w:rsidRPr="00EE359B">
        <w:t>.</w:t>
      </w:r>
    </w:p>
    <w:p w14:paraId="633AB9F2" w14:textId="5945A26D" w:rsidR="000B170B" w:rsidRDefault="000B170B" w:rsidP="000B170B">
      <w:pPr>
        <w:jc w:val="both"/>
      </w:pPr>
      <w:r>
        <w:t>In view of aforesaid, IIIPI</w:t>
      </w:r>
      <w:r w:rsidRPr="00F7271D">
        <w:t xml:space="preserve"> constitut</w:t>
      </w:r>
      <w:r>
        <w:t xml:space="preserve">ed </w:t>
      </w:r>
      <w:r w:rsidRPr="00F7271D">
        <w:t xml:space="preserve">an expert group to examine the issue(s) </w:t>
      </w:r>
      <w:r>
        <w:t xml:space="preserve">highlighted above </w:t>
      </w:r>
      <w:r w:rsidRPr="00F7271D">
        <w:t>and suggesting the way forward</w:t>
      </w:r>
      <w:r>
        <w:t xml:space="preserve"> with the following objectives :</w:t>
      </w:r>
    </w:p>
    <w:p w14:paraId="5EFC67F5" w14:textId="77777777" w:rsidR="000B170B" w:rsidRDefault="000B170B" w:rsidP="000B170B">
      <w:pPr>
        <w:pStyle w:val="ListParagraph"/>
        <w:numPr>
          <w:ilvl w:val="0"/>
          <w:numId w:val="33"/>
        </w:numPr>
        <w:jc w:val="both"/>
      </w:pPr>
      <w:r>
        <w:t>To examine genuine issues faced by IPs and IPEs which impede their genuine professional growth.  The indicative issues have been outlined in the previous section, which may be modified/expanded as deemed appropriate.</w:t>
      </w:r>
    </w:p>
    <w:p w14:paraId="142D0330" w14:textId="77777777" w:rsidR="000B170B" w:rsidRDefault="000B170B" w:rsidP="000B170B">
      <w:pPr>
        <w:pStyle w:val="ListParagraph"/>
        <w:numPr>
          <w:ilvl w:val="0"/>
          <w:numId w:val="33"/>
        </w:numPr>
        <w:jc w:val="both"/>
      </w:pPr>
      <w:r>
        <w:t>To propose the way forward to improve the dispensation and to help the insolvency profession thrive and grow.</w:t>
      </w:r>
    </w:p>
    <w:p w14:paraId="1DE01278" w14:textId="2C9C3AF4" w:rsidR="000B170B" w:rsidRDefault="000B170B" w:rsidP="000B170B">
      <w:pPr>
        <w:jc w:val="both"/>
      </w:pPr>
      <w:bookmarkStart w:id="1" w:name="_Hlk202440900"/>
      <w:r>
        <w:t xml:space="preserve">The said study group </w:t>
      </w:r>
      <w:r w:rsidR="009357A7">
        <w:t>was</w:t>
      </w:r>
      <w:r>
        <w:t xml:space="preserve"> constitut</w:t>
      </w:r>
      <w:r w:rsidR="009357A7">
        <w:t>ed</w:t>
      </w:r>
      <w:r>
        <w:t xml:space="preserve"> under the chairmanship of Dr. Ashok Kumar Mishra, Chairman, IIIPI.   The members of the study group comprise nominated IPs from across all IPAs.</w:t>
      </w:r>
      <w:r w:rsidR="009357A7">
        <w:t xml:space="preserve">  </w:t>
      </w:r>
      <w:r>
        <w:t xml:space="preserve">  </w:t>
      </w:r>
    </w:p>
    <w:bookmarkEnd w:id="1"/>
    <w:p w14:paraId="2248B9C9" w14:textId="6B55E06A" w:rsidR="00AF3E89" w:rsidRPr="00AF3E89" w:rsidRDefault="00AF3E89" w:rsidP="00AF3E89">
      <w:pPr>
        <w:spacing w:line="259" w:lineRule="auto"/>
        <w:jc w:val="both"/>
      </w:pPr>
    </w:p>
    <w:p w14:paraId="19112810" w14:textId="621AD492" w:rsidR="00475AD8" w:rsidRDefault="000B170B" w:rsidP="000B170B">
      <w:pPr>
        <w:pStyle w:val="Heading1"/>
        <w:numPr>
          <w:ilvl w:val="0"/>
          <w:numId w:val="13"/>
        </w:numPr>
        <w:tabs>
          <w:tab w:val="num" w:pos="360"/>
        </w:tabs>
        <w:ind w:left="0" w:firstLine="0"/>
      </w:pPr>
      <w:r>
        <w:t xml:space="preserve">      </w:t>
      </w:r>
      <w:bookmarkStart w:id="2" w:name="_Hlk216972867"/>
      <w:bookmarkStart w:id="3" w:name="_Toc217034386"/>
      <w:r w:rsidR="006527C3" w:rsidRPr="000B170B">
        <w:rPr>
          <w:sz w:val="36"/>
          <w:szCs w:val="36"/>
        </w:rPr>
        <w:t xml:space="preserve">Issues </w:t>
      </w:r>
      <w:r w:rsidR="006527C3">
        <w:rPr>
          <w:sz w:val="36"/>
          <w:szCs w:val="36"/>
        </w:rPr>
        <w:t>a</w:t>
      </w:r>
      <w:r w:rsidR="006527C3" w:rsidRPr="000B170B">
        <w:rPr>
          <w:sz w:val="36"/>
          <w:szCs w:val="36"/>
        </w:rPr>
        <w:t xml:space="preserve">nd Way Forward </w:t>
      </w:r>
      <w:r w:rsidR="00232921">
        <w:rPr>
          <w:sz w:val="36"/>
          <w:szCs w:val="36"/>
        </w:rPr>
        <w:t>related to IPs</w:t>
      </w:r>
      <w:bookmarkEnd w:id="3"/>
    </w:p>
    <w:bookmarkEnd w:id="2"/>
    <w:p w14:paraId="74808756" w14:textId="77777777" w:rsidR="007D4908" w:rsidRDefault="007D4908" w:rsidP="00475AD8">
      <w:pPr>
        <w:jc w:val="both"/>
      </w:pPr>
    </w:p>
    <w:p w14:paraId="0E6A1CE3" w14:textId="77777777" w:rsidR="00D24AA8" w:rsidRPr="00DF000F" w:rsidRDefault="00D24AA8" w:rsidP="00A64513">
      <w:pPr>
        <w:pStyle w:val="ListParagraph"/>
        <w:numPr>
          <w:ilvl w:val="0"/>
          <w:numId w:val="1"/>
        </w:numPr>
        <w:spacing w:after="0" w:line="276" w:lineRule="auto"/>
        <w:ind w:left="714" w:hanging="357"/>
        <w:jc w:val="both"/>
        <w:rPr>
          <w:rFonts w:ascii="Calibri" w:hAnsi="Calibri" w:cs="Calibri"/>
          <w:b/>
          <w:bCs/>
          <w:lang w:val="en-US"/>
        </w:rPr>
      </w:pPr>
      <w:r w:rsidRPr="00DF000F">
        <w:rPr>
          <w:rFonts w:ascii="Calibri" w:hAnsi="Calibri" w:cs="Calibri"/>
          <w:b/>
          <w:bCs/>
        </w:rPr>
        <w:t>Limited opportunities in getting assignments by IPs</w:t>
      </w:r>
    </w:p>
    <w:p w14:paraId="1D2D58B4" w14:textId="77777777" w:rsidR="00D24AA8" w:rsidRDefault="00D24AA8" w:rsidP="00D24AA8">
      <w:pPr>
        <w:pStyle w:val="ListParagraph"/>
        <w:jc w:val="both"/>
        <w:rPr>
          <w:rFonts w:ascii="Calibri" w:hAnsi="Calibri" w:cs="Calibri"/>
          <w:b/>
          <w:bCs/>
          <w:lang w:val="en-US"/>
        </w:rPr>
      </w:pPr>
    </w:p>
    <w:p w14:paraId="17E2FC4C" w14:textId="0B537E9F" w:rsidR="00D24AA8" w:rsidRDefault="00D24AA8" w:rsidP="00D24AA8">
      <w:pPr>
        <w:pStyle w:val="ListParagraph"/>
        <w:jc w:val="both"/>
        <w:rPr>
          <w:rFonts w:ascii="Calibri" w:hAnsi="Calibri" w:cs="Calibri"/>
          <w:lang w:val="en-US"/>
        </w:rPr>
      </w:pPr>
      <w:r w:rsidRPr="00DB3DA1">
        <w:rPr>
          <w:rFonts w:ascii="Calibri" w:hAnsi="Calibri" w:cs="Calibri"/>
          <w:b/>
          <w:bCs/>
          <w:lang w:val="en-US"/>
        </w:rPr>
        <w:t>Issue</w:t>
      </w:r>
      <w:r>
        <w:rPr>
          <w:rFonts w:ascii="Calibri" w:hAnsi="Calibri" w:cs="Calibri"/>
          <w:lang w:val="en-US"/>
        </w:rPr>
        <w:t xml:space="preserve">:  </w:t>
      </w:r>
    </w:p>
    <w:p w14:paraId="79F59C30" w14:textId="77777777" w:rsidR="00D24AA8" w:rsidRDefault="00D24AA8" w:rsidP="009357A7">
      <w:pPr>
        <w:pStyle w:val="ListParagraph"/>
        <w:numPr>
          <w:ilvl w:val="0"/>
          <w:numId w:val="37"/>
        </w:numPr>
        <w:ind w:left="1080"/>
        <w:jc w:val="both"/>
        <w:rPr>
          <w:rFonts w:ascii="Calibri" w:hAnsi="Calibri" w:cs="Calibri"/>
          <w:lang w:val="en-US"/>
        </w:rPr>
      </w:pPr>
      <w:r>
        <w:rPr>
          <w:rFonts w:ascii="Calibri" w:hAnsi="Calibri" w:cs="Calibri"/>
          <w:lang w:val="en-US"/>
        </w:rPr>
        <w:t xml:space="preserve">For want of orderly distribution of assignments, existing IPs are willing to leave profession whereas new talent is not joining in sufficient numbers.   This phenomenon is also reflected in significant surrender of memberships and defaults of membership fees at IPA level. </w:t>
      </w:r>
    </w:p>
    <w:p w14:paraId="5E75E08F" w14:textId="77777777" w:rsidR="00D24AA8" w:rsidRDefault="00D24AA8" w:rsidP="009357A7">
      <w:pPr>
        <w:pStyle w:val="ListParagraph"/>
        <w:ind w:left="360"/>
        <w:jc w:val="both"/>
        <w:rPr>
          <w:rFonts w:ascii="Calibri" w:hAnsi="Calibri" w:cs="Calibri"/>
          <w:lang w:val="en-US"/>
        </w:rPr>
      </w:pPr>
    </w:p>
    <w:p w14:paraId="6B34C95B" w14:textId="77777777" w:rsidR="00D24AA8" w:rsidRDefault="00D24AA8" w:rsidP="009357A7">
      <w:pPr>
        <w:pStyle w:val="ListParagraph"/>
        <w:numPr>
          <w:ilvl w:val="0"/>
          <w:numId w:val="37"/>
        </w:numPr>
        <w:ind w:left="1080"/>
        <w:jc w:val="both"/>
        <w:rPr>
          <w:rFonts w:ascii="Calibri" w:hAnsi="Calibri" w:cs="Calibri"/>
          <w:lang w:val="en-US"/>
        </w:rPr>
      </w:pPr>
      <w:r>
        <w:rPr>
          <w:rFonts w:ascii="Calibri" w:hAnsi="Calibri" w:cs="Calibri"/>
          <w:lang w:val="en-US"/>
        </w:rPr>
        <w:t xml:space="preserve">Ever since </w:t>
      </w:r>
      <w:r w:rsidRPr="002B7E40">
        <w:rPr>
          <w:rFonts w:ascii="Calibri" w:hAnsi="Calibri" w:cs="Calibri"/>
          <w:lang w:val="en-US"/>
        </w:rPr>
        <w:t>IPEs hav</w:t>
      </w:r>
      <w:r>
        <w:rPr>
          <w:rFonts w:ascii="Calibri" w:hAnsi="Calibri" w:cs="Calibri"/>
          <w:lang w:val="en-US"/>
        </w:rPr>
        <w:t>e</w:t>
      </w:r>
      <w:r w:rsidRPr="002B7E40">
        <w:rPr>
          <w:rFonts w:ascii="Calibri" w:hAnsi="Calibri" w:cs="Calibri"/>
          <w:lang w:val="en-US"/>
        </w:rPr>
        <w:t xml:space="preserve"> been enabled to take up assignments </w:t>
      </w:r>
      <w:r>
        <w:rPr>
          <w:rFonts w:ascii="Calibri" w:hAnsi="Calibri" w:cs="Calibri"/>
          <w:lang w:val="en-US"/>
        </w:rPr>
        <w:t xml:space="preserve">as juristic IPs, </w:t>
      </w:r>
      <w:r w:rsidRPr="002B7E40">
        <w:rPr>
          <w:rFonts w:ascii="Calibri" w:hAnsi="Calibri" w:cs="Calibri"/>
          <w:lang w:val="en-US"/>
        </w:rPr>
        <w:t>the scope for assignments for individual IPs has come down. In the current scenario, the IPEs can</w:t>
      </w:r>
      <w:r>
        <w:rPr>
          <w:rFonts w:ascii="Calibri" w:hAnsi="Calibri" w:cs="Calibri"/>
          <w:lang w:val="en-US"/>
        </w:rPr>
        <w:t xml:space="preserve"> secure</w:t>
      </w:r>
      <w:r w:rsidRPr="002B7E40">
        <w:rPr>
          <w:rFonts w:ascii="Calibri" w:hAnsi="Calibri" w:cs="Calibri"/>
          <w:lang w:val="en-US"/>
        </w:rPr>
        <w:t xml:space="preserve"> large</w:t>
      </w:r>
      <w:r>
        <w:rPr>
          <w:rFonts w:ascii="Calibri" w:hAnsi="Calibri" w:cs="Calibri"/>
          <w:lang w:val="en-US"/>
        </w:rPr>
        <w:t>-</w:t>
      </w:r>
      <w:r w:rsidRPr="002B7E40">
        <w:rPr>
          <w:rFonts w:ascii="Calibri" w:hAnsi="Calibri" w:cs="Calibri"/>
          <w:lang w:val="en-US"/>
        </w:rPr>
        <w:t>sized insolvency assignments.</w:t>
      </w:r>
      <w:r>
        <w:rPr>
          <w:rFonts w:ascii="Calibri" w:hAnsi="Calibri" w:cs="Calibri"/>
          <w:lang w:val="en-US"/>
        </w:rPr>
        <w:t xml:space="preserve">  Many IPs find it easier to work as individuals and/or may not be able to form an IPE which is subject to, inter alia, net-worth criterion.   </w:t>
      </w:r>
    </w:p>
    <w:p w14:paraId="59139619" w14:textId="77777777" w:rsidR="00BF45D1" w:rsidRDefault="00BF45D1" w:rsidP="009357A7">
      <w:pPr>
        <w:pStyle w:val="ListParagraph"/>
        <w:ind w:left="360"/>
        <w:jc w:val="both"/>
        <w:rPr>
          <w:rFonts w:ascii="Calibri" w:hAnsi="Calibri" w:cs="Calibri"/>
          <w:lang w:val="en-US"/>
        </w:rPr>
      </w:pPr>
    </w:p>
    <w:p w14:paraId="36DD8DCC" w14:textId="60E9333F" w:rsidR="00BF45D1" w:rsidRDefault="00BF45D1" w:rsidP="00940729">
      <w:pPr>
        <w:pStyle w:val="ListParagraph"/>
        <w:numPr>
          <w:ilvl w:val="0"/>
          <w:numId w:val="37"/>
        </w:numPr>
        <w:ind w:left="993" w:hanging="273"/>
        <w:jc w:val="both"/>
        <w:rPr>
          <w:rFonts w:ascii="Calibri" w:hAnsi="Calibri" w:cs="Calibri"/>
          <w:lang w:val="en-US"/>
        </w:rPr>
      </w:pPr>
      <w:r>
        <w:rPr>
          <w:rFonts w:ascii="Calibri" w:hAnsi="Calibri" w:cs="Calibri"/>
          <w:lang w:val="en-US"/>
        </w:rPr>
        <w:t xml:space="preserve">The fact that risk-reward ratio for insolvency professionals is unfavorable in view of highly complex and litigation prone processes, also creates a drag on growth of profession. A comprehensive professional indemnity insurance product for </w:t>
      </w:r>
      <w:r>
        <w:rPr>
          <w:rFonts w:ascii="Calibri" w:hAnsi="Calibri" w:cs="Calibri"/>
          <w:lang w:val="en-US"/>
        </w:rPr>
        <w:lastRenderedPageBreak/>
        <w:t xml:space="preserve">insolvency profession is either not available or is available at a steep price.   It is understood that a few leading players, after testing, have withdrawn the said product from the market.  As a comparison, internationally for instance in UK, </w:t>
      </w:r>
      <w:r w:rsidR="00807E72">
        <w:rPr>
          <w:rFonts w:ascii="Calibri" w:hAnsi="Calibri" w:cs="Calibri"/>
          <w:lang w:val="en-US"/>
        </w:rPr>
        <w:t>insurance</w:t>
      </w:r>
      <w:r>
        <w:rPr>
          <w:rFonts w:ascii="Calibri" w:hAnsi="Calibri" w:cs="Calibri"/>
          <w:lang w:val="en-US"/>
        </w:rPr>
        <w:t xml:space="preserve"> has been made mandatory for resolution professionals. </w:t>
      </w:r>
    </w:p>
    <w:p w14:paraId="631D881D" w14:textId="77777777" w:rsidR="00D24AA8" w:rsidRDefault="00D24AA8" w:rsidP="00D24AA8">
      <w:pPr>
        <w:pStyle w:val="ListParagraph"/>
        <w:jc w:val="both"/>
        <w:rPr>
          <w:rFonts w:ascii="Calibri" w:hAnsi="Calibri" w:cs="Calibri"/>
          <w:lang w:val="en-US"/>
        </w:rPr>
      </w:pPr>
    </w:p>
    <w:p w14:paraId="1A5A6D21" w14:textId="77777777" w:rsidR="00D24AA8" w:rsidRDefault="00D24AA8" w:rsidP="00D24AA8">
      <w:pPr>
        <w:pStyle w:val="ListParagraph"/>
        <w:jc w:val="both"/>
        <w:rPr>
          <w:rFonts w:ascii="Calibri" w:hAnsi="Calibri" w:cs="Calibri"/>
          <w:lang w:val="en-US"/>
        </w:rPr>
      </w:pPr>
      <w:r w:rsidRPr="009F272D">
        <w:rPr>
          <w:rFonts w:ascii="Calibri" w:hAnsi="Calibri" w:cs="Calibri"/>
          <w:b/>
          <w:bCs/>
          <w:lang w:val="en-US"/>
        </w:rPr>
        <w:t>Way Forward</w:t>
      </w:r>
      <w:r>
        <w:rPr>
          <w:rFonts w:ascii="Calibri" w:hAnsi="Calibri" w:cs="Calibri"/>
          <w:lang w:val="en-US"/>
        </w:rPr>
        <w:t>:</w:t>
      </w:r>
    </w:p>
    <w:p w14:paraId="1A1949DB" w14:textId="77777777" w:rsidR="00D24AA8" w:rsidRDefault="00D24AA8" w:rsidP="00D24AA8">
      <w:pPr>
        <w:pStyle w:val="ListParagraph"/>
        <w:jc w:val="both"/>
        <w:rPr>
          <w:rFonts w:ascii="Calibri" w:hAnsi="Calibri" w:cs="Calibri"/>
          <w:lang w:val="en-US"/>
        </w:rPr>
      </w:pPr>
    </w:p>
    <w:p w14:paraId="5733193E" w14:textId="77777777" w:rsidR="00D24AA8" w:rsidRDefault="00D24AA8" w:rsidP="00940729">
      <w:pPr>
        <w:pStyle w:val="ListParagraph"/>
        <w:numPr>
          <w:ilvl w:val="0"/>
          <w:numId w:val="38"/>
        </w:numPr>
        <w:ind w:left="993" w:hanging="284"/>
        <w:jc w:val="both"/>
        <w:rPr>
          <w:rFonts w:ascii="Calibri" w:hAnsi="Calibri" w:cs="Calibri"/>
          <w:lang w:val="en-US"/>
        </w:rPr>
      </w:pPr>
      <w:r>
        <w:rPr>
          <w:rFonts w:ascii="Calibri" w:hAnsi="Calibri" w:cs="Calibri"/>
          <w:lang w:val="en-US"/>
        </w:rPr>
        <w:t>To provide a fillip to the profession and enhance its appeal, more opportunities for IPs, given their unique skillsets around restructuring and qualifications, may be facilitated in other regulatory regimes as well.  Such skillsets may be relevant in banking sector to ensure resolution-readiness of large borrowers, and in corporate sector to ensure similar readiness proactively.  Few other sensitive sectors may include real estate, aviation, and non-banking financial sector.</w:t>
      </w:r>
    </w:p>
    <w:p w14:paraId="5E5C52B0" w14:textId="77777777" w:rsidR="00D24AA8" w:rsidRDefault="00D24AA8" w:rsidP="009357A7">
      <w:pPr>
        <w:pStyle w:val="ListParagraph"/>
        <w:ind w:left="993" w:hanging="284"/>
        <w:jc w:val="both"/>
        <w:rPr>
          <w:rFonts w:ascii="Calibri" w:hAnsi="Calibri" w:cs="Calibri"/>
          <w:lang w:val="en-US"/>
        </w:rPr>
      </w:pPr>
    </w:p>
    <w:p w14:paraId="16DD0ABF" w14:textId="77777777" w:rsidR="00D24AA8" w:rsidRDefault="00D24AA8" w:rsidP="009357A7">
      <w:pPr>
        <w:pStyle w:val="ListParagraph"/>
        <w:numPr>
          <w:ilvl w:val="0"/>
          <w:numId w:val="38"/>
        </w:numPr>
        <w:ind w:left="993" w:hanging="284"/>
        <w:jc w:val="both"/>
        <w:rPr>
          <w:rFonts w:ascii="Calibri" w:hAnsi="Calibri" w:cs="Calibri"/>
          <w:lang w:val="en-US"/>
        </w:rPr>
      </w:pPr>
      <w:r>
        <w:rPr>
          <w:rFonts w:ascii="Calibri" w:hAnsi="Calibri" w:cs="Calibri"/>
          <w:lang w:val="en-US"/>
        </w:rPr>
        <w:t>With onset of Group insolvency and Cross border insolvency, the opportunities may grow for the professionals.  Necessary tie-ups for global coordination may be facilitated.</w:t>
      </w:r>
    </w:p>
    <w:p w14:paraId="38F20EF0" w14:textId="77777777" w:rsidR="00D24AA8" w:rsidRDefault="00D24AA8" w:rsidP="009357A7">
      <w:pPr>
        <w:pStyle w:val="ListParagraph"/>
        <w:ind w:left="993" w:hanging="284"/>
        <w:jc w:val="both"/>
        <w:rPr>
          <w:rFonts w:ascii="Calibri" w:hAnsi="Calibri" w:cs="Calibri"/>
          <w:lang w:val="en-US"/>
        </w:rPr>
      </w:pPr>
    </w:p>
    <w:p w14:paraId="3933E6F4" w14:textId="77777777" w:rsidR="00D24AA8" w:rsidRDefault="00D24AA8" w:rsidP="009357A7">
      <w:pPr>
        <w:pStyle w:val="ListParagraph"/>
        <w:numPr>
          <w:ilvl w:val="0"/>
          <w:numId w:val="38"/>
        </w:numPr>
        <w:ind w:left="993" w:hanging="284"/>
        <w:jc w:val="both"/>
        <w:rPr>
          <w:rFonts w:ascii="Calibri" w:hAnsi="Calibri" w:cs="Calibri"/>
          <w:lang w:val="en-US"/>
        </w:rPr>
      </w:pPr>
      <w:r>
        <w:rPr>
          <w:rFonts w:ascii="Calibri" w:hAnsi="Calibri" w:cs="Calibri"/>
          <w:lang w:val="en-US"/>
        </w:rPr>
        <w:t xml:space="preserve">Introducing the full-fledged insolvency framework for individuals along with partnership firms may also help create newer professional opportunities for the profession. </w:t>
      </w:r>
    </w:p>
    <w:p w14:paraId="172FE959" w14:textId="77777777" w:rsidR="00D24AA8" w:rsidRDefault="00D24AA8" w:rsidP="009357A7">
      <w:pPr>
        <w:pStyle w:val="ListParagraph"/>
        <w:ind w:left="993" w:hanging="284"/>
        <w:jc w:val="both"/>
        <w:rPr>
          <w:rFonts w:ascii="Calibri" w:hAnsi="Calibri" w:cs="Calibri"/>
          <w:lang w:val="en-US"/>
        </w:rPr>
      </w:pPr>
    </w:p>
    <w:p w14:paraId="2417B27B" w14:textId="77777777" w:rsidR="00D24AA8" w:rsidRDefault="00D24AA8" w:rsidP="009357A7">
      <w:pPr>
        <w:pStyle w:val="ListParagraph"/>
        <w:numPr>
          <w:ilvl w:val="0"/>
          <w:numId w:val="38"/>
        </w:numPr>
        <w:ind w:left="993" w:hanging="284"/>
        <w:jc w:val="both"/>
        <w:rPr>
          <w:rFonts w:ascii="Calibri" w:hAnsi="Calibri" w:cs="Calibri"/>
          <w:lang w:val="en-US"/>
        </w:rPr>
      </w:pPr>
      <w:r>
        <w:rPr>
          <w:rFonts w:ascii="Calibri" w:hAnsi="Calibri" w:cs="Calibri"/>
          <w:lang w:val="en-US"/>
        </w:rPr>
        <w:t>On the lines of professions like CA, CS, CMA, the qualification as IP may also be considered to become an independent director, without the need to qualify an exam for the purpose meant for non-professionals.</w:t>
      </w:r>
    </w:p>
    <w:p w14:paraId="3C26E689" w14:textId="77777777" w:rsidR="00D24AA8" w:rsidRDefault="00D24AA8" w:rsidP="009357A7">
      <w:pPr>
        <w:pStyle w:val="ListParagraph"/>
        <w:ind w:left="993" w:hanging="284"/>
        <w:jc w:val="both"/>
        <w:rPr>
          <w:rFonts w:ascii="Calibri" w:hAnsi="Calibri" w:cs="Calibri"/>
          <w:lang w:val="en-US"/>
        </w:rPr>
      </w:pPr>
    </w:p>
    <w:p w14:paraId="3B66E50B" w14:textId="77777777" w:rsidR="00D24AA8" w:rsidRDefault="00D24AA8" w:rsidP="009357A7">
      <w:pPr>
        <w:pStyle w:val="ListParagraph"/>
        <w:numPr>
          <w:ilvl w:val="0"/>
          <w:numId w:val="38"/>
        </w:numPr>
        <w:ind w:left="993" w:hanging="284"/>
        <w:jc w:val="both"/>
        <w:rPr>
          <w:rFonts w:ascii="Calibri" w:hAnsi="Calibri" w:cs="Calibri"/>
          <w:lang w:val="en-US"/>
        </w:rPr>
      </w:pPr>
      <w:r>
        <w:rPr>
          <w:rFonts w:ascii="Calibri" w:hAnsi="Calibri" w:cs="Calibri"/>
          <w:lang w:val="en-US"/>
        </w:rPr>
        <w:t xml:space="preserve">Opportunities may also be facilitated under alternate distress resolution (ADR) mechanisms, by allowing IPs to be certified as mediators for proceedings under IBC, especially when the scope of Mediation under IBC for Section 9 applications is under consideration. </w:t>
      </w:r>
    </w:p>
    <w:p w14:paraId="756DB793" w14:textId="77777777" w:rsidR="00D24AA8" w:rsidRDefault="00D24AA8" w:rsidP="009357A7">
      <w:pPr>
        <w:pStyle w:val="ListParagraph"/>
        <w:ind w:left="993" w:hanging="284"/>
        <w:jc w:val="both"/>
        <w:rPr>
          <w:rFonts w:ascii="Calibri" w:hAnsi="Calibri" w:cs="Calibri"/>
          <w:lang w:val="en-US"/>
        </w:rPr>
      </w:pPr>
    </w:p>
    <w:p w14:paraId="05E71DAD" w14:textId="0D2887C7" w:rsidR="00D24AA8" w:rsidRDefault="00D24AA8" w:rsidP="009357A7">
      <w:pPr>
        <w:pStyle w:val="ListParagraph"/>
        <w:numPr>
          <w:ilvl w:val="0"/>
          <w:numId w:val="38"/>
        </w:numPr>
        <w:spacing w:line="276" w:lineRule="auto"/>
        <w:ind w:left="993" w:hanging="284"/>
        <w:jc w:val="both"/>
        <w:rPr>
          <w:rFonts w:ascii="Calibri" w:hAnsi="Calibri" w:cs="Calibri"/>
          <w:lang w:val="en-US"/>
        </w:rPr>
      </w:pPr>
      <w:r>
        <w:rPr>
          <w:rFonts w:ascii="Calibri" w:hAnsi="Calibri" w:cs="Calibri"/>
          <w:lang w:val="en-US"/>
        </w:rPr>
        <w:t xml:space="preserve">Only Individual IPs may be allowed to take assignments up to a certain ceiling of underlying debt/claim involved, say upo Rs.50 crore of claims.  </w:t>
      </w:r>
      <w:r w:rsidRPr="002B7E40">
        <w:rPr>
          <w:rFonts w:ascii="Calibri" w:hAnsi="Calibri" w:cs="Calibri"/>
          <w:lang w:val="en-US"/>
        </w:rPr>
        <w:t xml:space="preserve">While an individual IP may not have the bandwidth to accept large sized CIRP, the option of approaching an IPE for support services is open to them. </w:t>
      </w:r>
      <w:r>
        <w:rPr>
          <w:rFonts w:ascii="Calibri" w:hAnsi="Calibri" w:cs="Calibri"/>
          <w:lang w:val="en-US"/>
        </w:rPr>
        <w:t xml:space="preserve"> Su</w:t>
      </w:r>
      <w:r w:rsidRPr="002B7E40">
        <w:rPr>
          <w:rFonts w:ascii="Calibri" w:hAnsi="Calibri" w:cs="Calibri"/>
          <w:lang w:val="en-US"/>
        </w:rPr>
        <w:t>ch a practice would encourage competition amongst the IPEs to provide services at competitive rates</w:t>
      </w:r>
      <w:r>
        <w:rPr>
          <w:rFonts w:ascii="Calibri" w:hAnsi="Calibri" w:cs="Calibri"/>
          <w:lang w:val="en-US"/>
        </w:rPr>
        <w:t>.</w:t>
      </w:r>
    </w:p>
    <w:p w14:paraId="1D466DBB" w14:textId="77777777" w:rsidR="00BF45D1" w:rsidRDefault="00BF45D1" w:rsidP="009357A7">
      <w:pPr>
        <w:pStyle w:val="ListParagraph"/>
        <w:spacing w:line="276" w:lineRule="auto"/>
        <w:ind w:left="993" w:hanging="284"/>
        <w:jc w:val="both"/>
        <w:rPr>
          <w:rFonts w:ascii="Calibri" w:hAnsi="Calibri" w:cs="Calibri"/>
          <w:lang w:val="en-US"/>
        </w:rPr>
      </w:pPr>
    </w:p>
    <w:p w14:paraId="23CF5DB9" w14:textId="77777777" w:rsidR="008138D0" w:rsidRDefault="00BF45D1" w:rsidP="009357A7">
      <w:pPr>
        <w:pStyle w:val="ListParagraph"/>
        <w:numPr>
          <w:ilvl w:val="0"/>
          <w:numId w:val="38"/>
        </w:numPr>
        <w:spacing w:line="276" w:lineRule="auto"/>
        <w:ind w:left="993" w:hanging="284"/>
        <w:jc w:val="both"/>
        <w:rPr>
          <w:rFonts w:ascii="Calibri" w:hAnsi="Calibri" w:cs="Calibri"/>
          <w:lang w:val="en-US"/>
        </w:rPr>
      </w:pPr>
      <w:r>
        <w:rPr>
          <w:rFonts w:ascii="Calibri" w:hAnsi="Calibri" w:cs="Calibri"/>
          <w:lang w:val="en-US"/>
        </w:rPr>
        <w:t xml:space="preserve">To improve the risk-reward ratio for the insolvency profession, professional indemnity insurance should be facilitated, through Insurance Sector Regulator, with consequent cost to be made part of CIRP cost.   </w:t>
      </w:r>
    </w:p>
    <w:p w14:paraId="16C68DA8" w14:textId="77777777" w:rsidR="008138D0" w:rsidRDefault="008138D0" w:rsidP="009357A7">
      <w:pPr>
        <w:pStyle w:val="ListParagraph"/>
        <w:spacing w:line="276" w:lineRule="auto"/>
        <w:ind w:left="993" w:hanging="284"/>
        <w:jc w:val="both"/>
        <w:rPr>
          <w:rFonts w:ascii="Calibri" w:hAnsi="Calibri" w:cs="Calibri"/>
          <w:lang w:val="en-US"/>
        </w:rPr>
      </w:pPr>
    </w:p>
    <w:p w14:paraId="59C38B03" w14:textId="2EB5B2C0" w:rsidR="008138D0" w:rsidRDefault="008138D0" w:rsidP="009357A7">
      <w:pPr>
        <w:pStyle w:val="ListParagraph"/>
        <w:numPr>
          <w:ilvl w:val="0"/>
          <w:numId w:val="38"/>
        </w:numPr>
        <w:spacing w:line="276" w:lineRule="auto"/>
        <w:ind w:left="993" w:hanging="284"/>
        <w:jc w:val="both"/>
        <w:rPr>
          <w:rFonts w:ascii="Calibri" w:hAnsi="Calibri" w:cs="Calibri"/>
          <w:lang w:val="en-US"/>
        </w:rPr>
      </w:pPr>
      <w:r>
        <w:rPr>
          <w:rFonts w:ascii="Calibri" w:hAnsi="Calibri" w:cs="Calibri"/>
          <w:lang w:val="en-US"/>
        </w:rPr>
        <w:lastRenderedPageBreak/>
        <w:t xml:space="preserve">The cool-off period between two </w:t>
      </w:r>
      <w:r w:rsidRPr="008138D0">
        <w:rPr>
          <w:rFonts w:ascii="Calibri" w:hAnsi="Calibri" w:cs="Calibri"/>
          <w:lang w:val="en-US"/>
        </w:rPr>
        <w:t>successive attempts</w:t>
      </w:r>
      <w:r>
        <w:rPr>
          <w:rFonts w:ascii="Calibri" w:hAnsi="Calibri" w:cs="Calibri"/>
          <w:lang w:val="en-US"/>
        </w:rPr>
        <w:t xml:space="preserve"> for LIE examination </w:t>
      </w:r>
      <w:r w:rsidRPr="008138D0">
        <w:rPr>
          <w:rFonts w:ascii="Calibri" w:hAnsi="Calibri" w:cs="Calibri"/>
          <w:lang w:val="en-US"/>
        </w:rPr>
        <w:t>may</w:t>
      </w:r>
      <w:r>
        <w:rPr>
          <w:rFonts w:ascii="Calibri" w:hAnsi="Calibri" w:cs="Calibri"/>
          <w:lang w:val="en-US"/>
        </w:rPr>
        <w:t xml:space="preserve"> be curtailed from three weeks currently to nil or one week.   The period of more than a week may make the aspirants lose the momentum and the interest to join the profession.   It has been observed that since introduction of cool-off period, the number of new memberships has declined over last few years.   </w:t>
      </w:r>
    </w:p>
    <w:p w14:paraId="781D7C7B" w14:textId="77777777" w:rsidR="008138D0" w:rsidRDefault="008138D0" w:rsidP="009357A7">
      <w:pPr>
        <w:pStyle w:val="ListParagraph"/>
        <w:spacing w:line="276" w:lineRule="auto"/>
        <w:ind w:left="993" w:hanging="284"/>
        <w:jc w:val="both"/>
        <w:rPr>
          <w:rFonts w:ascii="Calibri" w:hAnsi="Calibri" w:cs="Calibri"/>
          <w:lang w:val="en-US"/>
        </w:rPr>
      </w:pPr>
    </w:p>
    <w:p w14:paraId="1F812164" w14:textId="77777777" w:rsidR="00CA3ABA" w:rsidRDefault="008138D0" w:rsidP="009357A7">
      <w:pPr>
        <w:pStyle w:val="ListParagraph"/>
        <w:numPr>
          <w:ilvl w:val="0"/>
          <w:numId w:val="38"/>
        </w:numPr>
        <w:spacing w:line="276" w:lineRule="auto"/>
        <w:ind w:left="993" w:hanging="284"/>
        <w:jc w:val="both"/>
        <w:rPr>
          <w:rFonts w:ascii="Calibri" w:hAnsi="Calibri" w:cs="Calibri"/>
          <w:lang w:val="en-US"/>
        </w:rPr>
      </w:pPr>
      <w:r>
        <w:rPr>
          <w:rFonts w:ascii="Calibri" w:hAnsi="Calibri" w:cs="Calibri"/>
          <w:lang w:val="en-US"/>
        </w:rPr>
        <w:t xml:space="preserve">The students passing the </w:t>
      </w:r>
      <w:r w:rsidRPr="008138D0">
        <w:rPr>
          <w:rFonts w:ascii="Calibri" w:hAnsi="Calibri" w:cs="Calibri"/>
          <w:lang w:val="en-US"/>
        </w:rPr>
        <w:t xml:space="preserve">PGIP </w:t>
      </w:r>
      <w:r>
        <w:rPr>
          <w:rFonts w:ascii="Calibri" w:hAnsi="Calibri" w:cs="Calibri"/>
          <w:lang w:val="en-US"/>
        </w:rPr>
        <w:t>course</w:t>
      </w:r>
      <w:r w:rsidRPr="008138D0">
        <w:rPr>
          <w:rFonts w:ascii="Calibri" w:hAnsi="Calibri" w:cs="Calibri"/>
          <w:lang w:val="en-US"/>
        </w:rPr>
        <w:t xml:space="preserve"> </w:t>
      </w:r>
      <w:r>
        <w:rPr>
          <w:rFonts w:ascii="Calibri" w:hAnsi="Calibri" w:cs="Calibri"/>
          <w:lang w:val="en-US"/>
        </w:rPr>
        <w:t xml:space="preserve">may be </w:t>
      </w:r>
      <w:r w:rsidRPr="008138D0">
        <w:rPr>
          <w:rFonts w:ascii="Calibri" w:hAnsi="Calibri" w:cs="Calibri"/>
          <w:lang w:val="en-US"/>
        </w:rPr>
        <w:t>encourag</w:t>
      </w:r>
      <w:r>
        <w:rPr>
          <w:rFonts w:ascii="Calibri" w:hAnsi="Calibri" w:cs="Calibri"/>
          <w:lang w:val="en-US"/>
        </w:rPr>
        <w:t xml:space="preserve">ed to join the profession by clearing the LIE exam at the earliest. </w:t>
      </w:r>
      <w:r w:rsidRPr="008138D0">
        <w:rPr>
          <w:rFonts w:ascii="Calibri" w:hAnsi="Calibri" w:cs="Calibri"/>
          <w:lang w:val="en-US"/>
        </w:rPr>
        <w:t xml:space="preserve"> </w:t>
      </w:r>
      <w:r>
        <w:rPr>
          <w:rFonts w:ascii="Calibri" w:hAnsi="Calibri" w:cs="Calibri"/>
          <w:lang w:val="en-US"/>
        </w:rPr>
        <w:t>The delay in doing so may make it difficult for the candidates to pass the LIE examination.</w:t>
      </w:r>
      <w:r w:rsidR="00CA3ABA">
        <w:rPr>
          <w:rFonts w:ascii="Calibri" w:hAnsi="Calibri" w:cs="Calibri"/>
          <w:lang w:val="en-US"/>
        </w:rPr>
        <w:t xml:space="preserve">  </w:t>
      </w:r>
    </w:p>
    <w:p w14:paraId="414D4880" w14:textId="77777777" w:rsidR="00CA3ABA" w:rsidRDefault="00CA3ABA" w:rsidP="009357A7">
      <w:pPr>
        <w:pStyle w:val="ListParagraph"/>
        <w:spacing w:line="276" w:lineRule="auto"/>
        <w:ind w:left="993" w:hanging="284"/>
        <w:jc w:val="both"/>
        <w:rPr>
          <w:rFonts w:ascii="Calibri" w:hAnsi="Calibri" w:cs="Calibri"/>
          <w:lang w:val="en-US"/>
        </w:rPr>
      </w:pPr>
    </w:p>
    <w:p w14:paraId="013871D8" w14:textId="796E0D2B" w:rsidR="008138D0" w:rsidRPr="008138D0" w:rsidRDefault="00CA3ABA" w:rsidP="009357A7">
      <w:pPr>
        <w:pStyle w:val="ListParagraph"/>
        <w:numPr>
          <w:ilvl w:val="0"/>
          <w:numId w:val="38"/>
        </w:numPr>
        <w:spacing w:line="276" w:lineRule="auto"/>
        <w:ind w:left="993" w:hanging="284"/>
        <w:jc w:val="both"/>
        <w:rPr>
          <w:rFonts w:ascii="Calibri" w:hAnsi="Calibri" w:cs="Calibri"/>
          <w:lang w:val="en-US"/>
        </w:rPr>
      </w:pPr>
      <w:r>
        <w:rPr>
          <w:rFonts w:ascii="Calibri" w:hAnsi="Calibri" w:cs="Calibri"/>
          <w:lang w:val="en-US"/>
        </w:rPr>
        <w:t>It has been observed that among several parent professions (CA/CS/CMA/Law/Management), the advocates as experienced professionals join the profession in least numbers.  More legal professionals may be encouraged to join the insolvency profession by involving Bar Council of India as the facilitating body.</w:t>
      </w:r>
    </w:p>
    <w:p w14:paraId="421AA228" w14:textId="77777777" w:rsidR="008138D0" w:rsidRDefault="008138D0" w:rsidP="009357A7">
      <w:pPr>
        <w:pStyle w:val="ListParagraph"/>
        <w:spacing w:line="276" w:lineRule="auto"/>
        <w:ind w:left="993" w:hanging="284"/>
        <w:jc w:val="both"/>
        <w:rPr>
          <w:rFonts w:ascii="Calibri" w:hAnsi="Calibri" w:cs="Calibri"/>
          <w:lang w:val="en-US"/>
        </w:rPr>
      </w:pPr>
    </w:p>
    <w:p w14:paraId="6D7415E0" w14:textId="3967C878" w:rsidR="008138D0" w:rsidRPr="008138D0" w:rsidRDefault="00CA3ABA" w:rsidP="009357A7">
      <w:pPr>
        <w:pStyle w:val="ListParagraph"/>
        <w:numPr>
          <w:ilvl w:val="0"/>
          <w:numId w:val="38"/>
        </w:numPr>
        <w:spacing w:line="276" w:lineRule="auto"/>
        <w:ind w:left="993" w:hanging="284"/>
        <w:jc w:val="both"/>
        <w:rPr>
          <w:rFonts w:ascii="Calibri" w:hAnsi="Calibri" w:cs="Calibri"/>
          <w:lang w:val="en-US"/>
        </w:rPr>
      </w:pPr>
      <w:r>
        <w:rPr>
          <w:rFonts w:ascii="Calibri" w:hAnsi="Calibri" w:cs="Calibri"/>
          <w:lang w:val="en-US"/>
        </w:rPr>
        <w:t>Recently, IBBI’s guidelines have been amended by increasing the period for an IP-aspirant to get the enrolment done with IPA</w:t>
      </w:r>
      <w:r w:rsidR="008138D0" w:rsidRPr="008138D0">
        <w:rPr>
          <w:rFonts w:ascii="Calibri" w:hAnsi="Calibri" w:cs="Calibri"/>
          <w:lang w:val="en-US"/>
        </w:rPr>
        <w:t xml:space="preserve"> after passing LIE exam within 2 yrs </w:t>
      </w:r>
      <w:r>
        <w:rPr>
          <w:rFonts w:ascii="Calibri" w:hAnsi="Calibri" w:cs="Calibri"/>
          <w:lang w:val="en-US"/>
        </w:rPr>
        <w:t xml:space="preserve">now </w:t>
      </w:r>
      <w:r w:rsidR="008138D0" w:rsidRPr="008138D0">
        <w:rPr>
          <w:rFonts w:ascii="Calibri" w:hAnsi="Calibri" w:cs="Calibri"/>
          <w:lang w:val="en-US"/>
        </w:rPr>
        <w:t>(from 1 year earlier)</w:t>
      </w:r>
      <w:r>
        <w:rPr>
          <w:rFonts w:ascii="Calibri" w:hAnsi="Calibri" w:cs="Calibri"/>
          <w:lang w:val="en-US"/>
        </w:rPr>
        <w:t>.  Allowing more time as such may make a candidate lose interest in joining the profession.  Besides, the level of retention of current knowledge of law and practice of IBC may also be adversely affected.   Hence, the period of one year as referred to above may be reinstated.</w:t>
      </w:r>
    </w:p>
    <w:p w14:paraId="325B47F2" w14:textId="77777777" w:rsidR="00D24AA8" w:rsidRDefault="00D24AA8" w:rsidP="00D24AA8">
      <w:pPr>
        <w:pStyle w:val="ListParagraph"/>
        <w:jc w:val="both"/>
        <w:rPr>
          <w:rFonts w:ascii="Calibri" w:hAnsi="Calibri" w:cs="Calibri"/>
          <w:lang w:val="en-US"/>
        </w:rPr>
      </w:pPr>
    </w:p>
    <w:p w14:paraId="72E3D6EB" w14:textId="77777777" w:rsidR="00D24AA8" w:rsidRPr="002B7E40" w:rsidRDefault="00D24AA8" w:rsidP="00D24AA8">
      <w:pPr>
        <w:pStyle w:val="ListParagraph"/>
        <w:numPr>
          <w:ilvl w:val="0"/>
          <w:numId w:val="1"/>
        </w:numPr>
        <w:rPr>
          <w:rFonts w:ascii="Calibri" w:hAnsi="Calibri" w:cs="Calibri"/>
          <w:b/>
          <w:bCs/>
          <w:lang w:val="en-US"/>
        </w:rPr>
      </w:pPr>
      <w:r w:rsidRPr="002B7E40">
        <w:rPr>
          <w:rFonts w:ascii="Calibri" w:hAnsi="Calibri" w:cs="Calibri"/>
          <w:lang w:val="en-US"/>
        </w:rPr>
        <w:t xml:space="preserve"> </w:t>
      </w:r>
      <w:r w:rsidRPr="002B7E40">
        <w:rPr>
          <w:rFonts w:ascii="Calibri" w:hAnsi="Calibri" w:cs="Calibri"/>
          <w:b/>
          <w:bCs/>
          <w:lang w:val="en-US"/>
        </w:rPr>
        <w:t xml:space="preserve">Bank-specific panels causing replacement of IPs who are not part of panels of all COC member banks.   </w:t>
      </w:r>
    </w:p>
    <w:p w14:paraId="29B8E491" w14:textId="77777777" w:rsidR="00D24AA8" w:rsidRDefault="00D24AA8" w:rsidP="00D24AA8">
      <w:pPr>
        <w:pStyle w:val="ListParagraph"/>
        <w:rPr>
          <w:rFonts w:ascii="Calibri" w:hAnsi="Calibri" w:cs="Calibri"/>
          <w:b/>
          <w:bCs/>
          <w:lang w:val="en-US"/>
        </w:rPr>
      </w:pPr>
    </w:p>
    <w:p w14:paraId="3525576F" w14:textId="77777777" w:rsidR="00D24AA8" w:rsidRDefault="00D24AA8" w:rsidP="00D24AA8">
      <w:pPr>
        <w:pStyle w:val="ListParagraph"/>
        <w:rPr>
          <w:rFonts w:ascii="Calibri" w:hAnsi="Calibri" w:cs="Calibri"/>
          <w:lang w:val="en-US"/>
        </w:rPr>
      </w:pPr>
      <w:r w:rsidRPr="004474A5">
        <w:rPr>
          <w:rFonts w:ascii="Calibri" w:hAnsi="Calibri" w:cs="Calibri"/>
          <w:b/>
          <w:bCs/>
          <w:lang w:val="en-US"/>
        </w:rPr>
        <w:t>Issue</w:t>
      </w:r>
      <w:r>
        <w:rPr>
          <w:rFonts w:ascii="Calibri" w:hAnsi="Calibri" w:cs="Calibri"/>
          <w:lang w:val="en-US"/>
        </w:rPr>
        <w:t>:</w:t>
      </w:r>
    </w:p>
    <w:p w14:paraId="7497FF1C" w14:textId="77777777" w:rsidR="00D24AA8" w:rsidRDefault="00D24AA8" w:rsidP="00080CDD">
      <w:pPr>
        <w:pStyle w:val="ListParagraph"/>
        <w:numPr>
          <w:ilvl w:val="0"/>
          <w:numId w:val="39"/>
        </w:numPr>
        <w:ind w:left="993" w:hanging="426"/>
        <w:jc w:val="both"/>
        <w:rPr>
          <w:rFonts w:ascii="Calibri" w:hAnsi="Calibri" w:cs="Calibri"/>
          <w:lang w:val="en-US"/>
        </w:rPr>
      </w:pPr>
      <w:r>
        <w:rPr>
          <w:rFonts w:ascii="Calibri" w:hAnsi="Calibri" w:cs="Calibri"/>
          <w:lang w:val="en-US"/>
        </w:rPr>
        <w:t>Various Banks follow the practice of maintaining their respective separate panels for IPs and then approach only those IPs who are part of such panel, to bid for an assignment.  Such panel may remain in vogue for 6 months or even over a year, before getting revised.  This practice goes against the equitable distribution of opportunities to professionals.</w:t>
      </w:r>
    </w:p>
    <w:p w14:paraId="0622C172" w14:textId="77777777" w:rsidR="00D24AA8" w:rsidRDefault="00D24AA8" w:rsidP="00940729">
      <w:pPr>
        <w:pStyle w:val="ListParagraph"/>
        <w:ind w:left="1134" w:hanging="567"/>
        <w:jc w:val="both"/>
        <w:rPr>
          <w:rFonts w:ascii="Calibri" w:hAnsi="Calibri" w:cs="Calibri"/>
          <w:lang w:val="en-US"/>
        </w:rPr>
      </w:pPr>
    </w:p>
    <w:p w14:paraId="7E63F805" w14:textId="77777777" w:rsidR="00D24AA8" w:rsidRDefault="00D24AA8" w:rsidP="00080CDD">
      <w:pPr>
        <w:pStyle w:val="ListParagraph"/>
        <w:numPr>
          <w:ilvl w:val="0"/>
          <w:numId w:val="39"/>
        </w:numPr>
        <w:ind w:left="993" w:hanging="426"/>
        <w:jc w:val="both"/>
        <w:rPr>
          <w:rFonts w:ascii="Calibri" w:hAnsi="Calibri" w:cs="Calibri"/>
          <w:lang w:val="en-US"/>
        </w:rPr>
      </w:pPr>
      <w:r>
        <w:rPr>
          <w:rFonts w:ascii="Calibri" w:hAnsi="Calibri" w:cs="Calibri"/>
          <w:lang w:val="en-US"/>
        </w:rPr>
        <w:t xml:space="preserve">Further, the IPs who can appointed initially as IRP (u/s 7 or 9) invariably get replaced if the said IP does not figure in the panel of lender(s) commanding the majority voting power in COC.   The replacement as such results in waste of time and effort and goes against the timeliness principal of IBC. </w:t>
      </w:r>
    </w:p>
    <w:p w14:paraId="5C2ECE34" w14:textId="77777777" w:rsidR="00D24AA8" w:rsidRDefault="00D24AA8" w:rsidP="00D24AA8">
      <w:pPr>
        <w:pStyle w:val="ListParagraph"/>
        <w:rPr>
          <w:rFonts w:ascii="Calibri" w:hAnsi="Calibri" w:cs="Calibri"/>
          <w:lang w:val="en-US"/>
        </w:rPr>
      </w:pPr>
    </w:p>
    <w:p w14:paraId="0AA97A6F" w14:textId="77777777" w:rsidR="00D24AA8" w:rsidRDefault="00D24AA8" w:rsidP="00D24AA8">
      <w:pPr>
        <w:pStyle w:val="ListParagraph"/>
        <w:rPr>
          <w:rFonts w:ascii="Calibri" w:hAnsi="Calibri" w:cs="Calibri"/>
          <w:lang w:val="en-US"/>
        </w:rPr>
      </w:pPr>
      <w:r w:rsidRPr="004474A5">
        <w:rPr>
          <w:rFonts w:ascii="Calibri" w:hAnsi="Calibri" w:cs="Calibri"/>
          <w:b/>
          <w:bCs/>
          <w:lang w:val="en-US"/>
        </w:rPr>
        <w:t>Way Forward</w:t>
      </w:r>
      <w:r>
        <w:rPr>
          <w:rFonts w:ascii="Calibri" w:hAnsi="Calibri" w:cs="Calibri"/>
          <w:lang w:val="en-US"/>
        </w:rPr>
        <w:t>:</w:t>
      </w:r>
    </w:p>
    <w:p w14:paraId="75D4F461" w14:textId="22CAAA20" w:rsidR="00D24AA8" w:rsidRDefault="00D24AA8" w:rsidP="00940729">
      <w:pPr>
        <w:pStyle w:val="ListParagraph"/>
        <w:numPr>
          <w:ilvl w:val="0"/>
          <w:numId w:val="40"/>
        </w:numPr>
        <w:spacing w:line="276" w:lineRule="auto"/>
        <w:ind w:left="993" w:hanging="284"/>
        <w:jc w:val="both"/>
        <w:rPr>
          <w:rFonts w:ascii="Calibri" w:hAnsi="Calibri" w:cs="Calibri"/>
          <w:b/>
          <w:bCs/>
          <w:lang w:val="en-US"/>
        </w:rPr>
      </w:pPr>
      <w:r w:rsidRPr="004253C2">
        <w:rPr>
          <w:rFonts w:ascii="Calibri" w:hAnsi="Calibri" w:cs="Calibri"/>
          <w:lang w:val="en-US"/>
        </w:rPr>
        <w:t xml:space="preserve">Banks should be encouraged to discontinue the practice of forming different panels and should be allowed to approach all IPs with valid AFA.   Ready information in this </w:t>
      </w:r>
      <w:r w:rsidRPr="004253C2">
        <w:rPr>
          <w:rFonts w:ascii="Calibri" w:hAnsi="Calibri" w:cs="Calibri"/>
          <w:lang w:val="en-US"/>
        </w:rPr>
        <w:lastRenderedPageBreak/>
        <w:t>regard, as already available on website of IBBI, may be provided to Banks in user-friendly format.   Such a dispensation would, besides saving time/effort, also obviate the allegations of prejudices in appointment/replacement.</w:t>
      </w:r>
    </w:p>
    <w:p w14:paraId="51B5466B" w14:textId="77777777" w:rsidR="00D24AA8" w:rsidRDefault="00D24AA8" w:rsidP="00D24AA8">
      <w:pPr>
        <w:pStyle w:val="ListParagraph"/>
        <w:spacing w:line="276" w:lineRule="auto"/>
        <w:jc w:val="both"/>
        <w:rPr>
          <w:rFonts w:ascii="Calibri" w:hAnsi="Calibri" w:cs="Calibri"/>
          <w:b/>
          <w:bCs/>
          <w:lang w:val="en-US"/>
        </w:rPr>
      </w:pPr>
    </w:p>
    <w:p w14:paraId="611BA967" w14:textId="41F21A07" w:rsidR="00D65BC5" w:rsidRPr="00CF7130" w:rsidRDefault="00D24AA8" w:rsidP="00D65BC5">
      <w:pPr>
        <w:pStyle w:val="ListParagraph"/>
        <w:numPr>
          <w:ilvl w:val="0"/>
          <w:numId w:val="1"/>
        </w:numPr>
        <w:spacing w:line="276" w:lineRule="auto"/>
        <w:jc w:val="both"/>
        <w:rPr>
          <w:rFonts w:ascii="Calibri" w:hAnsi="Calibri" w:cs="Calibri"/>
          <w:b/>
          <w:bCs/>
          <w:lang w:val="en-US"/>
        </w:rPr>
      </w:pPr>
      <w:r>
        <w:rPr>
          <w:rFonts w:ascii="Calibri" w:hAnsi="Calibri" w:cs="Calibri"/>
          <w:b/>
          <w:bCs/>
          <w:lang w:val="en-US"/>
        </w:rPr>
        <w:t>Timely</w:t>
      </w:r>
      <w:r w:rsidR="00D65BC5" w:rsidRPr="00CF7130">
        <w:rPr>
          <w:rFonts w:ascii="Calibri" w:hAnsi="Calibri" w:cs="Calibri"/>
          <w:b/>
          <w:bCs/>
          <w:lang w:val="en-US"/>
        </w:rPr>
        <w:t xml:space="preserve"> decisions </w:t>
      </w:r>
      <w:r>
        <w:rPr>
          <w:rFonts w:ascii="Calibri" w:hAnsi="Calibri" w:cs="Calibri"/>
          <w:b/>
          <w:bCs/>
          <w:lang w:val="en-US"/>
        </w:rPr>
        <w:t xml:space="preserve">to be </w:t>
      </w:r>
      <w:r w:rsidR="00D65BC5" w:rsidRPr="00CF7130">
        <w:rPr>
          <w:rFonts w:ascii="Calibri" w:hAnsi="Calibri" w:cs="Calibri"/>
          <w:b/>
          <w:bCs/>
          <w:lang w:val="en-US"/>
        </w:rPr>
        <w:t>taken in COC meeting</w:t>
      </w:r>
      <w:r>
        <w:rPr>
          <w:rFonts w:ascii="Calibri" w:hAnsi="Calibri" w:cs="Calibri"/>
          <w:b/>
          <w:bCs/>
          <w:lang w:val="en-US"/>
        </w:rPr>
        <w:t>s</w:t>
      </w:r>
      <w:r w:rsidR="00D65BC5" w:rsidRPr="00CF7130">
        <w:rPr>
          <w:rFonts w:ascii="Calibri" w:hAnsi="Calibri" w:cs="Calibri"/>
          <w:b/>
          <w:bCs/>
          <w:lang w:val="en-US"/>
        </w:rPr>
        <w:t>:</w:t>
      </w:r>
    </w:p>
    <w:p w14:paraId="7D3EB0A7" w14:textId="6963D5A9" w:rsidR="00D65BC5" w:rsidRPr="00CF7130" w:rsidRDefault="005855B7" w:rsidP="006527C3">
      <w:pPr>
        <w:pStyle w:val="ListParagraph"/>
        <w:rPr>
          <w:rFonts w:ascii="Calibri" w:hAnsi="Calibri" w:cs="Calibri"/>
          <w:b/>
          <w:bCs/>
          <w:lang w:val="en-US"/>
        </w:rPr>
      </w:pPr>
      <w:r>
        <w:rPr>
          <w:rFonts w:ascii="Calibri" w:hAnsi="Calibri" w:cs="Calibri"/>
          <w:b/>
          <w:bCs/>
          <w:lang w:val="en-US"/>
        </w:rPr>
        <w:t>Issue</w:t>
      </w:r>
      <w:r w:rsidR="00D65BC5" w:rsidRPr="00CF7130">
        <w:rPr>
          <w:rFonts w:ascii="Calibri" w:hAnsi="Calibri" w:cs="Calibri"/>
          <w:b/>
          <w:bCs/>
          <w:lang w:val="en-US"/>
        </w:rPr>
        <w:t xml:space="preserve">: </w:t>
      </w:r>
    </w:p>
    <w:p w14:paraId="75209B34" w14:textId="3B8158B6" w:rsidR="00974BE1" w:rsidRDefault="00974BE1" w:rsidP="00080CDD">
      <w:pPr>
        <w:pStyle w:val="ListParagraph"/>
        <w:numPr>
          <w:ilvl w:val="0"/>
          <w:numId w:val="41"/>
        </w:numPr>
        <w:ind w:left="993" w:hanging="284"/>
        <w:jc w:val="both"/>
        <w:rPr>
          <w:rFonts w:ascii="Calibri" w:hAnsi="Calibri" w:cs="Calibri"/>
          <w:lang w:val="en-US"/>
        </w:rPr>
      </w:pPr>
      <w:r>
        <w:rPr>
          <w:rFonts w:ascii="Calibri" w:hAnsi="Calibri" w:cs="Calibri"/>
          <w:lang w:val="en-US"/>
        </w:rPr>
        <w:t>Under the scheme as envisaged under IBC 2016, several critical decisions in respect of managing/resolving the CD as going concern are subject to COC’s wisdom.  However, currently there are no provisions in the law to hold the COC members accountable for lack of or delay in timely decisions by the COC members.  In absence of such provisions, critical expenses required to be incurred in managing the CIRP or CD as ‘going concern’, including payment of RP’s fees, at times, are either not taken or taken with substantial delays.   The delay may be due to lack of sufficient powers vested in bank officials attending the COC.   Such a dispensation may cause avoidable friction among creditors and/or with RP and may have cascading adverse effects on the outcome of CIRP.</w:t>
      </w:r>
    </w:p>
    <w:p w14:paraId="6EABCD06" w14:textId="77777777" w:rsidR="009357A7" w:rsidRDefault="009357A7" w:rsidP="006527C3">
      <w:pPr>
        <w:pStyle w:val="ListParagraph"/>
        <w:rPr>
          <w:rFonts w:ascii="Calibri" w:hAnsi="Calibri" w:cs="Calibri"/>
          <w:b/>
          <w:bCs/>
          <w:lang w:val="en-US"/>
        </w:rPr>
      </w:pPr>
    </w:p>
    <w:p w14:paraId="627FF91E" w14:textId="4E5359E0" w:rsidR="00D65BC5" w:rsidRPr="00CF7130" w:rsidRDefault="00D65BC5" w:rsidP="006527C3">
      <w:pPr>
        <w:pStyle w:val="ListParagraph"/>
        <w:rPr>
          <w:rFonts w:ascii="Calibri" w:hAnsi="Calibri" w:cs="Calibri"/>
          <w:b/>
          <w:bCs/>
          <w:lang w:val="en-US"/>
        </w:rPr>
      </w:pPr>
      <w:r w:rsidRPr="00CF7130">
        <w:rPr>
          <w:rFonts w:ascii="Calibri" w:hAnsi="Calibri" w:cs="Calibri"/>
          <w:b/>
          <w:bCs/>
          <w:lang w:val="en-US"/>
        </w:rPr>
        <w:t xml:space="preserve">Way Forward: </w:t>
      </w:r>
    </w:p>
    <w:p w14:paraId="6284E02B" w14:textId="579CD79D" w:rsidR="00D65BC5" w:rsidRPr="00CF7130" w:rsidRDefault="00D65BC5" w:rsidP="00080CDD">
      <w:pPr>
        <w:pStyle w:val="ListParagraph"/>
        <w:numPr>
          <w:ilvl w:val="0"/>
          <w:numId w:val="42"/>
        </w:numPr>
        <w:ind w:left="993" w:hanging="284"/>
        <w:jc w:val="both"/>
        <w:rPr>
          <w:rFonts w:ascii="Calibri" w:hAnsi="Calibri" w:cs="Calibri"/>
          <w:lang w:val="en-US"/>
        </w:rPr>
      </w:pPr>
      <w:r w:rsidRPr="00CF7130">
        <w:rPr>
          <w:rFonts w:ascii="Calibri" w:hAnsi="Calibri" w:cs="Calibri"/>
          <w:lang w:val="en-US"/>
        </w:rPr>
        <w:t xml:space="preserve">CIRP regulations </w:t>
      </w:r>
      <w:r w:rsidR="00B539C9">
        <w:rPr>
          <w:rFonts w:ascii="Calibri" w:hAnsi="Calibri" w:cs="Calibri"/>
          <w:lang w:val="en-US"/>
        </w:rPr>
        <w:t xml:space="preserve">may be amended </w:t>
      </w:r>
      <w:r w:rsidR="00266DB4">
        <w:rPr>
          <w:rFonts w:ascii="Calibri" w:hAnsi="Calibri" w:cs="Calibri"/>
          <w:lang w:val="en-US"/>
        </w:rPr>
        <w:t xml:space="preserve">to stipulate </w:t>
      </w:r>
      <w:r w:rsidRPr="00CF7130">
        <w:rPr>
          <w:rFonts w:ascii="Calibri" w:hAnsi="Calibri" w:cs="Calibri"/>
          <w:lang w:val="en-US"/>
        </w:rPr>
        <w:t xml:space="preserve">payment of CIRP cost within 7 days </w:t>
      </w:r>
      <w:r w:rsidR="00B539C9">
        <w:rPr>
          <w:rFonts w:ascii="Calibri" w:hAnsi="Calibri" w:cs="Calibri"/>
          <w:lang w:val="en-US"/>
        </w:rPr>
        <w:t>after</w:t>
      </w:r>
      <w:r w:rsidRPr="00CF7130">
        <w:rPr>
          <w:rFonts w:ascii="Calibri" w:hAnsi="Calibri" w:cs="Calibri"/>
          <w:lang w:val="en-US"/>
        </w:rPr>
        <w:t xml:space="preserve"> approval by the CoC</w:t>
      </w:r>
      <w:r w:rsidR="00266DB4">
        <w:rPr>
          <w:rFonts w:ascii="Calibri" w:hAnsi="Calibri" w:cs="Calibri"/>
          <w:lang w:val="en-US"/>
        </w:rPr>
        <w:t xml:space="preserve">.  Any delay beyond this timeline may be explained in writing by COC and additionally filed with AA for taking any action if desirable in the interest of timeliness objective of IBC.  </w:t>
      </w:r>
    </w:p>
    <w:p w14:paraId="26D8E83E" w14:textId="0A715C82" w:rsidR="00266DB4" w:rsidRDefault="00266DB4" w:rsidP="00080CDD">
      <w:pPr>
        <w:pStyle w:val="ListParagraph"/>
        <w:numPr>
          <w:ilvl w:val="0"/>
          <w:numId w:val="42"/>
        </w:numPr>
        <w:ind w:left="993" w:hanging="284"/>
        <w:jc w:val="both"/>
        <w:rPr>
          <w:rFonts w:ascii="Calibri" w:hAnsi="Calibri" w:cs="Calibri"/>
          <w:lang w:val="en-US"/>
        </w:rPr>
      </w:pPr>
      <w:r>
        <w:rPr>
          <w:rFonts w:ascii="Calibri" w:hAnsi="Calibri" w:cs="Calibri"/>
          <w:lang w:val="en-US"/>
        </w:rPr>
        <w:t>The code of conduct for COC may be introduced through necessary amendments.   In the interim, Indian Banking Association (IBA) may be requested to develop/ensure self-regulations by the banks as the key constituent of COC.</w:t>
      </w:r>
      <w:r w:rsidR="00D65BC5" w:rsidRPr="00CF7130">
        <w:rPr>
          <w:rFonts w:ascii="Calibri" w:hAnsi="Calibri" w:cs="Calibri"/>
          <w:lang w:val="en-US"/>
        </w:rPr>
        <w:t xml:space="preserve"> </w:t>
      </w:r>
    </w:p>
    <w:p w14:paraId="1E98BD85" w14:textId="3406CA7B" w:rsidR="00D65BC5" w:rsidRDefault="00D65BC5" w:rsidP="00080CDD">
      <w:pPr>
        <w:pStyle w:val="ListParagraph"/>
        <w:numPr>
          <w:ilvl w:val="0"/>
          <w:numId w:val="42"/>
        </w:numPr>
        <w:ind w:left="993" w:hanging="284"/>
        <w:jc w:val="both"/>
        <w:rPr>
          <w:rFonts w:ascii="Calibri" w:hAnsi="Calibri" w:cs="Calibri"/>
          <w:lang w:val="en-US"/>
        </w:rPr>
      </w:pPr>
      <w:r w:rsidRPr="00CF7130">
        <w:rPr>
          <w:rFonts w:ascii="Calibri" w:hAnsi="Calibri" w:cs="Calibri"/>
          <w:lang w:val="en-US"/>
        </w:rPr>
        <w:t xml:space="preserve">Insolvency &amp; Bankruptcy </w:t>
      </w:r>
      <w:r w:rsidR="00266DB4">
        <w:rPr>
          <w:rFonts w:ascii="Calibri" w:hAnsi="Calibri" w:cs="Calibri"/>
          <w:lang w:val="en-US"/>
        </w:rPr>
        <w:t>F</w:t>
      </w:r>
      <w:r w:rsidRPr="00CF7130">
        <w:rPr>
          <w:rFonts w:ascii="Calibri" w:hAnsi="Calibri" w:cs="Calibri"/>
          <w:lang w:val="en-US"/>
        </w:rPr>
        <w:t xml:space="preserve">und </w:t>
      </w:r>
      <w:r w:rsidR="00266DB4">
        <w:rPr>
          <w:rFonts w:ascii="Calibri" w:hAnsi="Calibri" w:cs="Calibri"/>
          <w:lang w:val="en-US"/>
        </w:rPr>
        <w:t>under the provisions of IBC may be</w:t>
      </w:r>
      <w:r w:rsidRPr="00CF7130">
        <w:rPr>
          <w:rFonts w:ascii="Calibri" w:hAnsi="Calibri" w:cs="Calibri"/>
          <w:lang w:val="en-US"/>
        </w:rPr>
        <w:t xml:space="preserve"> operationalized to support the </w:t>
      </w:r>
      <w:r w:rsidR="00266DB4">
        <w:rPr>
          <w:rFonts w:ascii="Calibri" w:hAnsi="Calibri" w:cs="Calibri"/>
          <w:lang w:val="en-US"/>
        </w:rPr>
        <w:t>R</w:t>
      </w:r>
      <w:r w:rsidRPr="00CF7130">
        <w:rPr>
          <w:rFonts w:ascii="Calibri" w:hAnsi="Calibri" w:cs="Calibri"/>
          <w:lang w:val="en-US"/>
        </w:rPr>
        <w:t xml:space="preserve">P </w:t>
      </w:r>
      <w:r w:rsidR="00266DB4">
        <w:rPr>
          <w:rFonts w:ascii="Calibri" w:hAnsi="Calibri" w:cs="Calibri"/>
          <w:lang w:val="en-US"/>
        </w:rPr>
        <w:t xml:space="preserve">financially </w:t>
      </w:r>
      <w:r w:rsidRPr="00CF7130">
        <w:rPr>
          <w:rFonts w:ascii="Calibri" w:hAnsi="Calibri" w:cs="Calibri"/>
          <w:lang w:val="en-US"/>
        </w:rPr>
        <w:t xml:space="preserve">for timely </w:t>
      </w:r>
      <w:r w:rsidR="00266DB4">
        <w:rPr>
          <w:rFonts w:ascii="Calibri" w:hAnsi="Calibri" w:cs="Calibri"/>
          <w:lang w:val="en-US"/>
        </w:rPr>
        <w:t xml:space="preserve">and urgent </w:t>
      </w:r>
      <w:r w:rsidRPr="00CF7130">
        <w:rPr>
          <w:rFonts w:ascii="Calibri" w:hAnsi="Calibri" w:cs="Calibri"/>
          <w:lang w:val="en-US"/>
        </w:rPr>
        <w:t>payment of CIRP Cost</w:t>
      </w:r>
      <w:r w:rsidR="00266DB4">
        <w:rPr>
          <w:rFonts w:ascii="Calibri" w:hAnsi="Calibri" w:cs="Calibri"/>
          <w:lang w:val="en-US"/>
        </w:rPr>
        <w:t xml:space="preserve"> which remain pending for the release of funds (by banks as COC members) </w:t>
      </w:r>
      <w:r w:rsidR="004609AC">
        <w:rPr>
          <w:rFonts w:ascii="Calibri" w:hAnsi="Calibri" w:cs="Calibri"/>
          <w:lang w:val="en-US"/>
        </w:rPr>
        <w:t>even after</w:t>
      </w:r>
      <w:r w:rsidR="00266DB4">
        <w:rPr>
          <w:rFonts w:ascii="Calibri" w:hAnsi="Calibri" w:cs="Calibri"/>
          <w:lang w:val="en-US"/>
        </w:rPr>
        <w:t xml:space="preserve"> COC approvals</w:t>
      </w:r>
      <w:r w:rsidRPr="00CF7130">
        <w:rPr>
          <w:rFonts w:ascii="Calibri" w:hAnsi="Calibri" w:cs="Calibri"/>
          <w:lang w:val="en-US"/>
        </w:rPr>
        <w:t>.</w:t>
      </w:r>
      <w:r w:rsidR="00266DB4">
        <w:rPr>
          <w:rFonts w:ascii="Calibri" w:hAnsi="Calibri" w:cs="Calibri"/>
          <w:lang w:val="en-US"/>
        </w:rPr>
        <w:t xml:space="preserve">  Any drawdown from the said fund should be reimbursable as and when COC </w:t>
      </w:r>
      <w:r w:rsidR="004609AC">
        <w:rPr>
          <w:rFonts w:ascii="Calibri" w:hAnsi="Calibri" w:cs="Calibri"/>
          <w:lang w:val="en-US"/>
        </w:rPr>
        <w:t>members are able to release the funds.   Such drawdown may be subjected to a reasonable rate of interest to ensure time value of money.</w:t>
      </w:r>
      <w:r w:rsidR="00266DB4">
        <w:rPr>
          <w:rFonts w:ascii="Calibri" w:hAnsi="Calibri" w:cs="Calibri"/>
          <w:lang w:val="en-US"/>
        </w:rPr>
        <w:t xml:space="preserve">  </w:t>
      </w:r>
    </w:p>
    <w:p w14:paraId="4B1EEFE5" w14:textId="77777777" w:rsidR="00080CDD" w:rsidRDefault="00080CDD" w:rsidP="00080CDD">
      <w:pPr>
        <w:jc w:val="both"/>
        <w:rPr>
          <w:rFonts w:ascii="Calibri" w:hAnsi="Calibri" w:cs="Calibri"/>
          <w:lang w:val="en-US"/>
        </w:rPr>
      </w:pPr>
    </w:p>
    <w:p w14:paraId="2F4882A5" w14:textId="77777777" w:rsidR="00D24AA8" w:rsidRDefault="00D24AA8" w:rsidP="00D24AA8">
      <w:pPr>
        <w:pStyle w:val="ListParagraph"/>
        <w:rPr>
          <w:rFonts w:ascii="Calibri" w:hAnsi="Calibri" w:cs="Calibri"/>
          <w:lang w:val="en-US"/>
        </w:rPr>
      </w:pPr>
    </w:p>
    <w:p w14:paraId="0BC8B20F" w14:textId="77777777" w:rsidR="00D24AA8" w:rsidRDefault="00D24AA8" w:rsidP="00D24AA8">
      <w:pPr>
        <w:pStyle w:val="ListParagraph"/>
        <w:numPr>
          <w:ilvl w:val="0"/>
          <w:numId w:val="1"/>
        </w:numPr>
        <w:spacing w:line="276" w:lineRule="auto"/>
        <w:jc w:val="both"/>
        <w:rPr>
          <w:rFonts w:ascii="Calibri" w:hAnsi="Calibri" w:cs="Calibri"/>
          <w:b/>
          <w:bCs/>
          <w:lang w:val="en-US"/>
        </w:rPr>
      </w:pPr>
      <w:r>
        <w:rPr>
          <w:rFonts w:ascii="Calibri" w:hAnsi="Calibri" w:cs="Calibri"/>
          <w:b/>
          <w:bCs/>
          <w:lang w:val="en-US"/>
        </w:rPr>
        <w:t xml:space="preserve"> Double Jeopardy or Duplicity of Compliances with IBBI and IPAs, and with NCLT </w:t>
      </w:r>
    </w:p>
    <w:p w14:paraId="2D63B32E" w14:textId="77777777" w:rsidR="00D24AA8" w:rsidRDefault="00D24AA8" w:rsidP="00D24AA8">
      <w:pPr>
        <w:pStyle w:val="ListParagraph"/>
        <w:rPr>
          <w:rFonts w:ascii="Calibri" w:hAnsi="Calibri" w:cs="Calibri"/>
        </w:rPr>
      </w:pPr>
    </w:p>
    <w:p w14:paraId="64DDBB5C" w14:textId="77777777" w:rsidR="00D24AA8" w:rsidRDefault="00D24AA8" w:rsidP="00D24AA8">
      <w:pPr>
        <w:pStyle w:val="ListParagraph"/>
        <w:rPr>
          <w:rFonts w:ascii="Calibri" w:hAnsi="Calibri" w:cs="Calibri"/>
        </w:rPr>
      </w:pPr>
      <w:r w:rsidRPr="009B27E5">
        <w:rPr>
          <w:rFonts w:ascii="Calibri" w:hAnsi="Calibri" w:cs="Calibri"/>
          <w:b/>
          <w:bCs/>
        </w:rPr>
        <w:t>Issue</w:t>
      </w:r>
      <w:r>
        <w:rPr>
          <w:rFonts w:ascii="Calibri" w:hAnsi="Calibri" w:cs="Calibri"/>
        </w:rPr>
        <w:t>:</w:t>
      </w:r>
    </w:p>
    <w:p w14:paraId="52988073" w14:textId="77777777" w:rsidR="00D24AA8" w:rsidRDefault="00D24AA8" w:rsidP="00080CDD">
      <w:pPr>
        <w:pStyle w:val="ListParagraph"/>
        <w:numPr>
          <w:ilvl w:val="0"/>
          <w:numId w:val="43"/>
        </w:numPr>
        <w:ind w:left="993" w:hanging="284"/>
        <w:jc w:val="both"/>
        <w:rPr>
          <w:rFonts w:ascii="Calibri" w:hAnsi="Calibri" w:cs="Calibri"/>
        </w:rPr>
      </w:pPr>
      <w:r>
        <w:rPr>
          <w:rFonts w:ascii="Calibri" w:hAnsi="Calibri" w:cs="Calibri"/>
        </w:rPr>
        <w:t xml:space="preserve">At times IPs are subjected to similar proceedings related to monitoring, inspection, grievance or disciplinary mechanisms, at the principal regulator (IBBI) and the frontline regulator (IPA).   This results in repetitive efforts by IPs in clarifying, representing the facts to the regulatory bodies.  </w:t>
      </w:r>
    </w:p>
    <w:p w14:paraId="3F84A3C7" w14:textId="77777777" w:rsidR="00D24AA8" w:rsidRDefault="00D24AA8" w:rsidP="00080CDD">
      <w:pPr>
        <w:pStyle w:val="ListParagraph"/>
        <w:ind w:left="993" w:hanging="284"/>
        <w:rPr>
          <w:rFonts w:ascii="Calibri" w:hAnsi="Calibri" w:cs="Calibri"/>
        </w:rPr>
      </w:pPr>
    </w:p>
    <w:p w14:paraId="5E8BE7A0" w14:textId="77777777" w:rsidR="00D24AA8" w:rsidRDefault="00D24AA8" w:rsidP="00080CDD">
      <w:pPr>
        <w:pStyle w:val="ListParagraph"/>
        <w:numPr>
          <w:ilvl w:val="0"/>
          <w:numId w:val="43"/>
        </w:numPr>
        <w:ind w:left="993" w:hanging="284"/>
        <w:jc w:val="both"/>
        <w:rPr>
          <w:rFonts w:ascii="Calibri" w:hAnsi="Calibri" w:cs="Calibri"/>
        </w:rPr>
      </w:pPr>
      <w:r>
        <w:rPr>
          <w:rFonts w:ascii="Calibri" w:hAnsi="Calibri" w:cs="Calibri"/>
        </w:rPr>
        <w:t>Compliance forms are required to filed at IBBI and IPA levels, which have similar information/data fields, causing duplicity of efforts.</w:t>
      </w:r>
    </w:p>
    <w:p w14:paraId="3841D944" w14:textId="77777777" w:rsidR="00D24AA8" w:rsidRDefault="00D24AA8" w:rsidP="00080CDD">
      <w:pPr>
        <w:pStyle w:val="ListParagraph"/>
        <w:ind w:left="993" w:hanging="284"/>
        <w:rPr>
          <w:rFonts w:ascii="Calibri" w:hAnsi="Calibri" w:cs="Calibri"/>
        </w:rPr>
      </w:pPr>
    </w:p>
    <w:p w14:paraId="5138CE02" w14:textId="77777777" w:rsidR="00D24AA8" w:rsidRDefault="00D24AA8" w:rsidP="00080CDD">
      <w:pPr>
        <w:pStyle w:val="ListParagraph"/>
        <w:numPr>
          <w:ilvl w:val="0"/>
          <w:numId w:val="43"/>
        </w:numPr>
        <w:ind w:left="993" w:hanging="284"/>
        <w:jc w:val="both"/>
        <w:rPr>
          <w:rFonts w:ascii="Calibri" w:hAnsi="Calibri" w:cs="Calibri"/>
        </w:rPr>
      </w:pPr>
      <w:r>
        <w:rPr>
          <w:rFonts w:ascii="Calibri" w:hAnsi="Calibri" w:cs="Calibri"/>
        </w:rPr>
        <w:t>The progress reports during CIRP/Liquidation process, routine in nature, are required to be filed with NCLT as IA, which involve inordinate delays in getting heard, without any substantive outcome.</w:t>
      </w:r>
    </w:p>
    <w:p w14:paraId="0B44076F" w14:textId="77777777" w:rsidR="00D24AA8" w:rsidRDefault="00D24AA8" w:rsidP="00D24AA8">
      <w:pPr>
        <w:pStyle w:val="ListParagraph"/>
        <w:rPr>
          <w:rFonts w:ascii="Calibri" w:hAnsi="Calibri" w:cs="Calibri"/>
          <w:lang w:val="en-US"/>
        </w:rPr>
      </w:pPr>
    </w:p>
    <w:p w14:paraId="4BDDE598" w14:textId="77777777" w:rsidR="00D24AA8" w:rsidRDefault="00D24AA8" w:rsidP="00D24AA8">
      <w:pPr>
        <w:pStyle w:val="ListParagraph"/>
        <w:rPr>
          <w:rFonts w:ascii="Calibri" w:hAnsi="Calibri" w:cs="Calibri"/>
          <w:lang w:val="en-US"/>
        </w:rPr>
      </w:pPr>
      <w:r w:rsidRPr="009B27E5">
        <w:rPr>
          <w:rFonts w:ascii="Calibri" w:hAnsi="Calibri" w:cs="Calibri"/>
          <w:b/>
          <w:bCs/>
          <w:lang w:val="en-US"/>
        </w:rPr>
        <w:t>Way Forward</w:t>
      </w:r>
      <w:r>
        <w:rPr>
          <w:rFonts w:ascii="Calibri" w:hAnsi="Calibri" w:cs="Calibri"/>
          <w:lang w:val="en-US"/>
        </w:rPr>
        <w:t>:</w:t>
      </w:r>
    </w:p>
    <w:p w14:paraId="1ABDE1DF" w14:textId="77777777" w:rsidR="00D24AA8" w:rsidRDefault="00D24AA8" w:rsidP="00D24AA8">
      <w:pPr>
        <w:pStyle w:val="ListParagraph"/>
        <w:rPr>
          <w:rFonts w:ascii="Calibri" w:hAnsi="Calibri" w:cs="Calibri"/>
          <w:lang w:val="en-US"/>
        </w:rPr>
      </w:pPr>
    </w:p>
    <w:p w14:paraId="018EDFD6" w14:textId="77777777" w:rsidR="00D24AA8" w:rsidRDefault="00D24AA8" w:rsidP="00080CDD">
      <w:pPr>
        <w:pStyle w:val="ListParagraph"/>
        <w:numPr>
          <w:ilvl w:val="0"/>
          <w:numId w:val="44"/>
        </w:numPr>
        <w:ind w:left="993" w:hanging="284"/>
        <w:jc w:val="both"/>
        <w:rPr>
          <w:rFonts w:ascii="Calibri" w:hAnsi="Calibri" w:cs="Calibri"/>
        </w:rPr>
      </w:pPr>
      <w:r>
        <w:rPr>
          <w:rFonts w:ascii="Calibri" w:hAnsi="Calibri" w:cs="Calibri"/>
        </w:rPr>
        <w:t>The double jeopardy of actions across IBBI and IPA may be removed by identifying single authority for a particular purpose.</w:t>
      </w:r>
    </w:p>
    <w:p w14:paraId="612DD494" w14:textId="77777777" w:rsidR="00D24AA8" w:rsidRDefault="00D24AA8" w:rsidP="00080CDD">
      <w:pPr>
        <w:pStyle w:val="ListParagraph"/>
        <w:ind w:left="993" w:hanging="284"/>
        <w:jc w:val="both"/>
        <w:rPr>
          <w:rFonts w:ascii="Calibri" w:hAnsi="Calibri" w:cs="Calibri"/>
        </w:rPr>
      </w:pPr>
    </w:p>
    <w:p w14:paraId="364128AE" w14:textId="77777777" w:rsidR="00D24AA8" w:rsidRDefault="00D24AA8" w:rsidP="00080CDD">
      <w:pPr>
        <w:pStyle w:val="ListParagraph"/>
        <w:numPr>
          <w:ilvl w:val="0"/>
          <w:numId w:val="44"/>
        </w:numPr>
        <w:ind w:left="993" w:hanging="284"/>
        <w:jc w:val="both"/>
        <w:rPr>
          <w:rFonts w:ascii="Calibri" w:hAnsi="Calibri" w:cs="Calibri"/>
        </w:rPr>
      </w:pPr>
      <w:r>
        <w:rPr>
          <w:rFonts w:ascii="Calibri" w:hAnsi="Calibri" w:cs="Calibri"/>
        </w:rPr>
        <w:t>Technology driven solution(s) like integrated software should be deployed for the ecosystem to ensure single source of truth and avoid repetition of filling data across different portals.</w:t>
      </w:r>
    </w:p>
    <w:p w14:paraId="7CC26443" w14:textId="77777777" w:rsidR="00D24AA8" w:rsidRDefault="00D24AA8" w:rsidP="00080CDD">
      <w:pPr>
        <w:pStyle w:val="ListParagraph"/>
        <w:ind w:left="993" w:hanging="284"/>
        <w:jc w:val="both"/>
        <w:rPr>
          <w:rFonts w:ascii="Calibri" w:hAnsi="Calibri" w:cs="Calibri"/>
        </w:rPr>
      </w:pPr>
    </w:p>
    <w:p w14:paraId="488D625D" w14:textId="77777777" w:rsidR="00D24AA8" w:rsidRPr="002B7E40" w:rsidRDefault="00D24AA8" w:rsidP="00080CDD">
      <w:pPr>
        <w:pStyle w:val="ListParagraph"/>
        <w:numPr>
          <w:ilvl w:val="0"/>
          <w:numId w:val="44"/>
        </w:numPr>
        <w:ind w:left="993" w:hanging="284"/>
        <w:jc w:val="both"/>
        <w:rPr>
          <w:rFonts w:ascii="Calibri" w:hAnsi="Calibri" w:cs="Calibri"/>
          <w:lang w:val="en-US"/>
        </w:rPr>
      </w:pPr>
      <w:r w:rsidRPr="002B7E40">
        <w:rPr>
          <w:rFonts w:ascii="Calibri" w:hAnsi="Calibri" w:cs="Calibri"/>
        </w:rPr>
        <w:t xml:space="preserve">The filing of quarterly reports during </w:t>
      </w:r>
      <w:r>
        <w:rPr>
          <w:rFonts w:ascii="Calibri" w:hAnsi="Calibri" w:cs="Calibri"/>
        </w:rPr>
        <w:t>CIRP/</w:t>
      </w:r>
      <w:r w:rsidRPr="002B7E40">
        <w:rPr>
          <w:rFonts w:ascii="Calibri" w:hAnsi="Calibri" w:cs="Calibri"/>
        </w:rPr>
        <w:t>liquidation as an Interlocutory Application (IA) should be done away with. Filing the quarterly report with the NCLT registry, IBBI/IPA should be sufficient compliance</w:t>
      </w:r>
      <w:r>
        <w:rPr>
          <w:rFonts w:ascii="Calibri" w:hAnsi="Calibri" w:cs="Calibri"/>
        </w:rPr>
        <w:t>.</w:t>
      </w:r>
    </w:p>
    <w:p w14:paraId="730365B8" w14:textId="77777777" w:rsidR="00D24AA8" w:rsidRDefault="00D24AA8" w:rsidP="00D24AA8">
      <w:pPr>
        <w:pStyle w:val="ListParagraph"/>
        <w:rPr>
          <w:rFonts w:ascii="Calibri" w:hAnsi="Calibri" w:cs="Calibri"/>
          <w:lang w:val="en-US"/>
        </w:rPr>
      </w:pPr>
    </w:p>
    <w:p w14:paraId="64623F2D" w14:textId="77777777" w:rsidR="00D24AA8" w:rsidRPr="002B7E40" w:rsidRDefault="00D24AA8" w:rsidP="00D24AA8">
      <w:pPr>
        <w:pStyle w:val="ListParagraph"/>
        <w:rPr>
          <w:rFonts w:ascii="Calibri" w:hAnsi="Calibri" w:cs="Calibri"/>
          <w:lang w:val="en-US"/>
        </w:rPr>
      </w:pPr>
    </w:p>
    <w:p w14:paraId="37911C3E" w14:textId="77777777" w:rsidR="00807E72" w:rsidRPr="00B86CE4" w:rsidRDefault="00807E72" w:rsidP="00807E72">
      <w:pPr>
        <w:pStyle w:val="ListParagraph"/>
        <w:numPr>
          <w:ilvl w:val="0"/>
          <w:numId w:val="1"/>
        </w:numPr>
        <w:spacing w:line="276" w:lineRule="auto"/>
        <w:jc w:val="both"/>
        <w:rPr>
          <w:b/>
          <w:bCs/>
        </w:rPr>
      </w:pPr>
      <w:r w:rsidRPr="00B86CE4">
        <w:rPr>
          <w:b/>
          <w:bCs/>
        </w:rPr>
        <w:t>Lack of formal mechanism to address grey areas related to Interface with statutory departments</w:t>
      </w:r>
    </w:p>
    <w:p w14:paraId="54F55A67" w14:textId="77777777" w:rsidR="00807E72" w:rsidRDefault="00807E72" w:rsidP="00807E72">
      <w:pPr>
        <w:pStyle w:val="ListParagraph"/>
        <w:jc w:val="both"/>
      </w:pPr>
    </w:p>
    <w:p w14:paraId="639A0020" w14:textId="79F92400" w:rsidR="00807E72" w:rsidRPr="00801BDF" w:rsidRDefault="00807E72" w:rsidP="00807E72">
      <w:pPr>
        <w:pStyle w:val="ListParagraph"/>
        <w:jc w:val="both"/>
        <w:rPr>
          <w:b/>
          <w:bCs/>
        </w:rPr>
      </w:pPr>
      <w:r>
        <w:rPr>
          <w:b/>
          <w:bCs/>
        </w:rPr>
        <w:t>Issue</w:t>
      </w:r>
    </w:p>
    <w:p w14:paraId="2603BC3E" w14:textId="77777777" w:rsidR="00807E72" w:rsidRPr="00080CDD" w:rsidRDefault="00807E72" w:rsidP="00080CDD">
      <w:pPr>
        <w:pStyle w:val="ListParagraph"/>
        <w:numPr>
          <w:ilvl w:val="0"/>
          <w:numId w:val="45"/>
        </w:numPr>
        <w:ind w:left="993" w:hanging="284"/>
        <w:jc w:val="both"/>
        <w:rPr>
          <w:rFonts w:ascii="Calibri" w:hAnsi="Calibri" w:cs="Calibri"/>
        </w:rPr>
      </w:pPr>
      <w:r w:rsidRPr="00080CDD">
        <w:rPr>
          <w:rFonts w:ascii="Calibri" w:hAnsi="Calibri" w:cs="Calibri"/>
        </w:rPr>
        <w:t xml:space="preserve">In most cases, CDs against whom an application is admitted by the Adjudicating Authority, are found to be non-compliant of statutory requirements under various laws like Corporate, Income Tax, GST, EPFO, Customs Laws.  This is partly because of either insufficient cashflow or documentation available to comply with laws, for the past and the present.  As a result, various statutory departments, quoting their respective provisions, demand compliance by the IRP / RP / Liquidator including for the past periods.   Instead of supporting IRP/RP as an officer of court, statutory departments at times put them through legal rigors causing further delays in CIRP and compromising timeliness objective of IBC. </w:t>
      </w:r>
    </w:p>
    <w:p w14:paraId="78597096" w14:textId="77777777" w:rsidR="00807E72" w:rsidRDefault="00807E72" w:rsidP="00807E72">
      <w:pPr>
        <w:pStyle w:val="ListParagraph"/>
        <w:jc w:val="both"/>
      </w:pPr>
    </w:p>
    <w:p w14:paraId="615281D5" w14:textId="77777777" w:rsidR="006527C3" w:rsidRDefault="00807E72" w:rsidP="006527C3">
      <w:pPr>
        <w:pStyle w:val="ListParagraph"/>
        <w:jc w:val="both"/>
        <w:rPr>
          <w:b/>
          <w:bCs/>
        </w:rPr>
      </w:pPr>
      <w:r>
        <w:rPr>
          <w:b/>
          <w:bCs/>
        </w:rPr>
        <w:t>Way Forward</w:t>
      </w:r>
      <w:r w:rsidRPr="00801BDF">
        <w:rPr>
          <w:b/>
          <w:bCs/>
        </w:rPr>
        <w:t>:</w:t>
      </w:r>
    </w:p>
    <w:p w14:paraId="1243E5E6" w14:textId="76CAB63E" w:rsidR="00807E72" w:rsidRPr="006527C3" w:rsidRDefault="00807E72" w:rsidP="00080CDD">
      <w:pPr>
        <w:pStyle w:val="ListParagraph"/>
        <w:numPr>
          <w:ilvl w:val="0"/>
          <w:numId w:val="46"/>
        </w:numPr>
        <w:jc w:val="both"/>
        <w:rPr>
          <w:b/>
          <w:bCs/>
        </w:rPr>
      </w:pPr>
      <w:r>
        <w:t>In the admission order (by NCLT) on CIRP, the status of RP as officer of the Court may be made more pronounced, specifically calling upon, inter-alia, statutory departments to support him/her in executing lawful responsibilities under IBC.</w:t>
      </w:r>
    </w:p>
    <w:p w14:paraId="51D7659F" w14:textId="3489B9C8" w:rsidR="00807E72" w:rsidRDefault="00807E72" w:rsidP="00080CDD">
      <w:pPr>
        <w:pStyle w:val="ListParagraph"/>
        <w:numPr>
          <w:ilvl w:val="0"/>
          <w:numId w:val="46"/>
        </w:numPr>
        <w:jc w:val="both"/>
      </w:pPr>
      <w:r w:rsidRPr="00750727">
        <w:lastRenderedPageBreak/>
        <w:t>A</w:t>
      </w:r>
      <w:r>
        <w:t xml:space="preserve">n agency/nodal officer in each statutory department should be designated for coordinating </w:t>
      </w:r>
      <w:r w:rsidRPr="00750727">
        <w:t xml:space="preserve">IBC </w:t>
      </w:r>
      <w:r>
        <w:t>proceedings and as channel for official communication internally and with external stakeholders.</w:t>
      </w:r>
      <w:r w:rsidR="006527C3">
        <w:t xml:space="preserve"> </w:t>
      </w:r>
      <w:r>
        <w:t>GST Dept</w:t>
      </w:r>
      <w:r w:rsidR="006527C3">
        <w:t>t</w:t>
      </w:r>
      <w:r>
        <w:t xml:space="preserve">. has recently implemented such framework which may be replicated across other departments as well.  </w:t>
      </w:r>
    </w:p>
    <w:p w14:paraId="4F626006" w14:textId="77777777" w:rsidR="00807E72" w:rsidRDefault="00807E72" w:rsidP="00080CDD">
      <w:pPr>
        <w:pStyle w:val="ListParagraph"/>
        <w:numPr>
          <w:ilvl w:val="0"/>
          <w:numId w:val="46"/>
        </w:numPr>
        <w:jc w:val="both"/>
      </w:pPr>
      <w:r>
        <w:t xml:space="preserve">There shall be regular training of concerned officers of such </w:t>
      </w:r>
      <w:r w:rsidRPr="00750727">
        <w:t>statutory departments</w:t>
      </w:r>
      <w:r>
        <w:t xml:space="preserve"> from time to time</w:t>
      </w:r>
      <w:r w:rsidRPr="00750727">
        <w:t>.</w:t>
      </w:r>
      <w:r>
        <w:t xml:space="preserve">  This shall also help in resolving mutual concerns of departments as well as insolvency practitioners.</w:t>
      </w:r>
    </w:p>
    <w:p w14:paraId="0C0AA92A" w14:textId="77777777" w:rsidR="00807E72" w:rsidRDefault="00807E72" w:rsidP="00080CDD">
      <w:pPr>
        <w:pStyle w:val="ListParagraph"/>
        <w:numPr>
          <w:ilvl w:val="0"/>
          <w:numId w:val="46"/>
        </w:numPr>
        <w:jc w:val="both"/>
      </w:pPr>
      <w:r>
        <w:t xml:space="preserve">There may be some checks and balances placed on the power of the Statutory agencies to summon IRP / RP in person, especially for compliance of any matter prior to the start of the CIRP period.   IRP / RP to be allowed to be represented by competent professionals before the respective statutory authorities.  Further, as relevant, the suspended Directors should be summoned by the Statutory Authorities for matter relating to CD prior to the start of CIRP period.   In this regard it may be noted that though powers of board of directors </w:t>
      </w:r>
    </w:p>
    <w:p w14:paraId="64CE05F5" w14:textId="77777777" w:rsidR="00807E72" w:rsidRPr="006527C3" w:rsidRDefault="00807E72" w:rsidP="00807E72">
      <w:pPr>
        <w:pStyle w:val="ListParagraph"/>
        <w:spacing w:line="276" w:lineRule="auto"/>
        <w:jc w:val="both"/>
      </w:pPr>
    </w:p>
    <w:p w14:paraId="1D9CFA2D" w14:textId="049F0D4D" w:rsidR="00D65BC5" w:rsidRPr="00CF7130" w:rsidRDefault="00D24AA8" w:rsidP="00D24AA8">
      <w:pPr>
        <w:pStyle w:val="ListParagraph"/>
        <w:numPr>
          <w:ilvl w:val="0"/>
          <w:numId w:val="1"/>
        </w:numPr>
        <w:spacing w:line="276" w:lineRule="auto"/>
        <w:jc w:val="both"/>
        <w:rPr>
          <w:rFonts w:ascii="Calibri" w:hAnsi="Calibri" w:cs="Calibri"/>
          <w:b/>
          <w:bCs/>
        </w:rPr>
      </w:pPr>
      <w:r>
        <w:rPr>
          <w:rFonts w:ascii="Calibri" w:hAnsi="Calibri" w:cs="Calibri"/>
          <w:b/>
          <w:bCs/>
        </w:rPr>
        <w:t>Leeway to RPs to get the b</w:t>
      </w:r>
      <w:r w:rsidR="00D65BC5" w:rsidRPr="00CF7130">
        <w:rPr>
          <w:rFonts w:ascii="Calibri" w:hAnsi="Calibri" w:cs="Calibri"/>
          <w:b/>
          <w:bCs/>
        </w:rPr>
        <w:t xml:space="preserve">ooks of accounts of </w:t>
      </w:r>
      <w:r>
        <w:rPr>
          <w:rFonts w:ascii="Calibri" w:hAnsi="Calibri" w:cs="Calibri"/>
          <w:b/>
          <w:bCs/>
        </w:rPr>
        <w:t>CD</w:t>
      </w:r>
      <w:r w:rsidR="00D65BC5" w:rsidRPr="00CF7130">
        <w:rPr>
          <w:rFonts w:ascii="Calibri" w:hAnsi="Calibri" w:cs="Calibri"/>
          <w:b/>
          <w:bCs/>
        </w:rPr>
        <w:t xml:space="preserve"> </w:t>
      </w:r>
      <w:r>
        <w:rPr>
          <w:rFonts w:ascii="Calibri" w:hAnsi="Calibri" w:cs="Calibri"/>
          <w:b/>
          <w:bCs/>
        </w:rPr>
        <w:t>completed and appointing professionals for forensic/avoidance transactions</w:t>
      </w:r>
    </w:p>
    <w:p w14:paraId="7544ACBB" w14:textId="77777777" w:rsidR="00DB3DA1" w:rsidRDefault="004609AC" w:rsidP="006527C3">
      <w:pPr>
        <w:spacing w:line="276" w:lineRule="auto"/>
        <w:ind w:firstLine="720"/>
        <w:jc w:val="both"/>
        <w:rPr>
          <w:rFonts w:ascii="Calibri" w:hAnsi="Calibri" w:cs="Calibri"/>
          <w:b/>
          <w:bCs/>
          <w:lang w:val="en-US"/>
        </w:rPr>
      </w:pPr>
      <w:r>
        <w:rPr>
          <w:rFonts w:ascii="Calibri" w:hAnsi="Calibri" w:cs="Calibri"/>
          <w:b/>
          <w:bCs/>
          <w:lang w:val="en-US"/>
        </w:rPr>
        <w:t>Issues</w:t>
      </w:r>
      <w:r w:rsidR="00D65BC5" w:rsidRPr="00CF7130">
        <w:rPr>
          <w:rFonts w:ascii="Calibri" w:hAnsi="Calibri" w:cs="Calibri"/>
          <w:b/>
          <w:bCs/>
          <w:lang w:val="en-US"/>
        </w:rPr>
        <w:t xml:space="preserve">: </w:t>
      </w:r>
    </w:p>
    <w:p w14:paraId="2A3645C6" w14:textId="18CFC1A6" w:rsidR="00D65BC5" w:rsidRPr="00694EAA" w:rsidRDefault="00D65BC5" w:rsidP="00694EAA">
      <w:pPr>
        <w:pStyle w:val="ListParagraph"/>
        <w:numPr>
          <w:ilvl w:val="0"/>
          <w:numId w:val="47"/>
        </w:numPr>
        <w:spacing w:line="276" w:lineRule="auto"/>
        <w:ind w:left="993" w:hanging="284"/>
        <w:jc w:val="both"/>
        <w:rPr>
          <w:rFonts w:ascii="Calibri" w:hAnsi="Calibri" w:cs="Calibri"/>
        </w:rPr>
      </w:pPr>
      <w:r w:rsidRPr="00694EAA">
        <w:rPr>
          <w:rFonts w:ascii="Calibri" w:hAnsi="Calibri" w:cs="Calibri"/>
        </w:rPr>
        <w:t xml:space="preserve">It is often observed that the books of accounts of the </w:t>
      </w:r>
      <w:r w:rsidR="004609AC" w:rsidRPr="00694EAA">
        <w:rPr>
          <w:rFonts w:ascii="Calibri" w:hAnsi="Calibri" w:cs="Calibri"/>
        </w:rPr>
        <w:t>CD</w:t>
      </w:r>
      <w:r w:rsidRPr="00694EAA">
        <w:rPr>
          <w:rFonts w:ascii="Calibri" w:hAnsi="Calibri" w:cs="Calibri"/>
        </w:rPr>
        <w:t xml:space="preserve"> are not maintained for the last </w:t>
      </w:r>
      <w:r w:rsidR="004609AC" w:rsidRPr="00694EAA">
        <w:rPr>
          <w:rFonts w:ascii="Calibri" w:hAnsi="Calibri" w:cs="Calibri"/>
        </w:rPr>
        <w:t xml:space="preserve">3 </w:t>
      </w:r>
      <w:r w:rsidRPr="00694EAA">
        <w:rPr>
          <w:rFonts w:ascii="Calibri" w:hAnsi="Calibri" w:cs="Calibri"/>
        </w:rPr>
        <w:t xml:space="preserve">to </w:t>
      </w:r>
      <w:r w:rsidR="004609AC" w:rsidRPr="00694EAA">
        <w:rPr>
          <w:rFonts w:ascii="Calibri" w:hAnsi="Calibri" w:cs="Calibri"/>
        </w:rPr>
        <w:t xml:space="preserve">4 </w:t>
      </w:r>
      <w:r w:rsidRPr="00694EAA">
        <w:rPr>
          <w:rFonts w:ascii="Calibri" w:hAnsi="Calibri" w:cs="Calibri"/>
        </w:rPr>
        <w:t xml:space="preserve">years from the insolvency commencement date (ICD). It is usually seen that in such cases that, the chances of a resolution/recovery are very remote, and the corporate debtor is also non-cooperative. In such cases, COC </w:t>
      </w:r>
      <w:r w:rsidR="004609AC" w:rsidRPr="00694EAA">
        <w:rPr>
          <w:rFonts w:ascii="Calibri" w:hAnsi="Calibri" w:cs="Calibri"/>
        </w:rPr>
        <w:t>is generally not inclined</w:t>
      </w:r>
      <w:r w:rsidRPr="00694EAA">
        <w:rPr>
          <w:rFonts w:ascii="Calibri" w:hAnsi="Calibri" w:cs="Calibri"/>
        </w:rPr>
        <w:t xml:space="preserve"> to incur expenses for updating the books of the corporate debtor for a period prior to the ICD. Without the updated books of accounts, the IM does not reflect the current status of the CD’s financial affairs</w:t>
      </w:r>
      <w:r w:rsidR="004609AC" w:rsidRPr="00694EAA">
        <w:rPr>
          <w:rFonts w:ascii="Calibri" w:hAnsi="Calibri" w:cs="Calibri"/>
        </w:rPr>
        <w:t>, leading to consequent issues and delays.</w:t>
      </w:r>
      <w:r w:rsidRPr="00694EAA">
        <w:rPr>
          <w:rFonts w:ascii="Calibri" w:hAnsi="Calibri" w:cs="Calibri"/>
        </w:rPr>
        <w:t xml:space="preserve"> </w:t>
      </w:r>
    </w:p>
    <w:p w14:paraId="18A4654D" w14:textId="75CF0766" w:rsidR="00BF45D1" w:rsidRPr="00694EAA" w:rsidRDefault="00BF45D1" w:rsidP="00694EAA">
      <w:pPr>
        <w:pStyle w:val="ListParagraph"/>
        <w:numPr>
          <w:ilvl w:val="0"/>
          <w:numId w:val="47"/>
        </w:numPr>
        <w:spacing w:line="276" w:lineRule="auto"/>
        <w:ind w:left="993" w:hanging="284"/>
        <w:jc w:val="both"/>
        <w:rPr>
          <w:rFonts w:ascii="Calibri" w:hAnsi="Calibri" w:cs="Calibri"/>
        </w:rPr>
      </w:pPr>
      <w:r w:rsidRPr="00694EAA">
        <w:rPr>
          <w:rFonts w:ascii="Calibri" w:hAnsi="Calibri" w:cs="Calibri"/>
          <w:lang w:val="en-US"/>
        </w:rPr>
        <w:t>There are instances where the CoC does not approve the cost of appointing forensic experts/transaction auditors in the context of forming opinion on avoidance transactions.  This may, inter alia, be due to involvement of officials of COC members in the underlying transactions.  In absence of such approvals, it becomes difficult for the RP to determine avoidance transactions and claw back underlying value.</w:t>
      </w:r>
    </w:p>
    <w:p w14:paraId="7F1F83F5" w14:textId="77777777" w:rsidR="00D65BC5" w:rsidRPr="00CF7130" w:rsidRDefault="00D65BC5" w:rsidP="006527C3">
      <w:pPr>
        <w:spacing w:line="276" w:lineRule="auto"/>
        <w:ind w:firstLine="720"/>
        <w:jc w:val="both"/>
        <w:rPr>
          <w:rFonts w:ascii="Calibri" w:hAnsi="Calibri" w:cs="Calibri"/>
          <w:b/>
          <w:bCs/>
          <w:lang w:val="en-US"/>
        </w:rPr>
      </w:pPr>
      <w:r w:rsidRPr="00CF7130">
        <w:rPr>
          <w:rFonts w:ascii="Calibri" w:hAnsi="Calibri" w:cs="Calibri"/>
          <w:b/>
          <w:bCs/>
          <w:lang w:val="en-US"/>
        </w:rPr>
        <w:t xml:space="preserve">Way Forward: </w:t>
      </w:r>
    </w:p>
    <w:p w14:paraId="771655B2" w14:textId="409D230A" w:rsidR="00D65BC5" w:rsidRPr="00694EAA" w:rsidRDefault="004609AC" w:rsidP="00694EAA">
      <w:pPr>
        <w:pStyle w:val="ListParagraph"/>
        <w:numPr>
          <w:ilvl w:val="0"/>
          <w:numId w:val="48"/>
        </w:numPr>
        <w:spacing w:line="276" w:lineRule="auto"/>
        <w:ind w:left="993" w:hanging="284"/>
        <w:jc w:val="both"/>
        <w:rPr>
          <w:rFonts w:ascii="Calibri" w:hAnsi="Calibri" w:cs="Calibri"/>
        </w:rPr>
      </w:pPr>
      <w:r w:rsidRPr="00694EAA">
        <w:rPr>
          <w:rFonts w:ascii="Calibri" w:hAnsi="Calibri" w:cs="Calibri"/>
        </w:rPr>
        <w:t>R</w:t>
      </w:r>
      <w:r w:rsidR="00D65BC5" w:rsidRPr="00694EAA">
        <w:rPr>
          <w:rFonts w:ascii="Calibri" w:hAnsi="Calibri" w:cs="Calibri"/>
        </w:rPr>
        <w:t xml:space="preserve">Ps have onerous responsibility under Section 17(2)(e) – which makes the IP responsible for complying with the requirements under any law for the time being in force on behalf of the </w:t>
      </w:r>
      <w:r w:rsidRPr="00694EAA">
        <w:rPr>
          <w:rFonts w:ascii="Calibri" w:hAnsi="Calibri" w:cs="Calibri"/>
        </w:rPr>
        <w:t>CD</w:t>
      </w:r>
      <w:r w:rsidR="00D65BC5" w:rsidRPr="00694EAA">
        <w:rPr>
          <w:rFonts w:ascii="Calibri" w:hAnsi="Calibri" w:cs="Calibri"/>
        </w:rPr>
        <w:t xml:space="preserve">. Without adequate financial support from the CoC, the </w:t>
      </w:r>
      <w:r w:rsidRPr="00694EAA">
        <w:rPr>
          <w:rFonts w:ascii="Calibri" w:hAnsi="Calibri" w:cs="Calibri"/>
        </w:rPr>
        <w:t>R</w:t>
      </w:r>
      <w:r w:rsidR="00D65BC5" w:rsidRPr="00694EAA">
        <w:rPr>
          <w:rFonts w:ascii="Calibri" w:hAnsi="Calibri" w:cs="Calibri"/>
        </w:rPr>
        <w:t xml:space="preserve">P </w:t>
      </w:r>
      <w:r w:rsidR="008A2F80" w:rsidRPr="00694EAA">
        <w:rPr>
          <w:rFonts w:ascii="Calibri" w:hAnsi="Calibri" w:cs="Calibri"/>
        </w:rPr>
        <w:t>may not be singularly held</w:t>
      </w:r>
      <w:r w:rsidR="00D65BC5" w:rsidRPr="00694EAA">
        <w:rPr>
          <w:rFonts w:ascii="Calibri" w:hAnsi="Calibri" w:cs="Calibri"/>
        </w:rPr>
        <w:t xml:space="preserve"> responsible for complying with this requirement. </w:t>
      </w:r>
    </w:p>
    <w:p w14:paraId="2EE28C12" w14:textId="4587AD0F" w:rsidR="00D65BC5" w:rsidRPr="00694EAA" w:rsidRDefault="008A2F80" w:rsidP="00694EAA">
      <w:pPr>
        <w:pStyle w:val="ListParagraph"/>
        <w:numPr>
          <w:ilvl w:val="0"/>
          <w:numId w:val="48"/>
        </w:numPr>
        <w:spacing w:line="276" w:lineRule="auto"/>
        <w:ind w:left="993" w:hanging="284"/>
        <w:jc w:val="both"/>
        <w:rPr>
          <w:rFonts w:ascii="Calibri" w:hAnsi="Calibri" w:cs="Calibri"/>
        </w:rPr>
      </w:pPr>
      <w:r w:rsidRPr="00694EAA">
        <w:rPr>
          <w:rFonts w:ascii="Calibri" w:hAnsi="Calibri" w:cs="Calibri"/>
        </w:rPr>
        <w:t xml:space="preserve">In the event </w:t>
      </w:r>
      <w:r w:rsidR="00D65BC5" w:rsidRPr="00694EAA">
        <w:rPr>
          <w:rFonts w:ascii="Calibri" w:hAnsi="Calibri" w:cs="Calibri"/>
        </w:rPr>
        <w:t>CoC does not approve the appointment of professionals who can carry out the compliances under Section 17(2)(e)</w:t>
      </w:r>
      <w:r w:rsidRPr="00694EAA">
        <w:rPr>
          <w:rFonts w:ascii="Calibri" w:hAnsi="Calibri" w:cs="Calibri"/>
        </w:rPr>
        <w:t>, r</w:t>
      </w:r>
      <w:r w:rsidR="00D65BC5" w:rsidRPr="00694EAA">
        <w:rPr>
          <w:rFonts w:ascii="Calibri" w:hAnsi="Calibri" w:cs="Calibri"/>
        </w:rPr>
        <w:t xml:space="preserve">egulations should </w:t>
      </w:r>
      <w:r w:rsidRPr="00694EAA">
        <w:rPr>
          <w:rFonts w:ascii="Calibri" w:hAnsi="Calibri" w:cs="Calibri"/>
        </w:rPr>
        <w:t>allow a</w:t>
      </w:r>
      <w:r w:rsidR="00D65BC5" w:rsidRPr="00694EAA">
        <w:rPr>
          <w:rFonts w:ascii="Calibri" w:hAnsi="Calibri" w:cs="Calibri"/>
        </w:rPr>
        <w:t xml:space="preserve"> leeway to </w:t>
      </w:r>
      <w:r w:rsidR="00D65BC5" w:rsidRPr="00694EAA">
        <w:rPr>
          <w:rFonts w:ascii="Calibri" w:hAnsi="Calibri" w:cs="Calibri"/>
        </w:rPr>
        <w:lastRenderedPageBreak/>
        <w:t xml:space="preserve">the IPs to appoint professionals without </w:t>
      </w:r>
      <w:r w:rsidRPr="00694EAA">
        <w:rPr>
          <w:rFonts w:ascii="Calibri" w:hAnsi="Calibri" w:cs="Calibri"/>
        </w:rPr>
        <w:t xml:space="preserve">waiting for </w:t>
      </w:r>
      <w:r w:rsidR="00D65BC5" w:rsidRPr="00694EAA">
        <w:rPr>
          <w:rFonts w:ascii="Calibri" w:hAnsi="Calibri" w:cs="Calibri"/>
        </w:rPr>
        <w:t xml:space="preserve">the </w:t>
      </w:r>
      <w:r w:rsidRPr="00694EAA">
        <w:rPr>
          <w:rFonts w:ascii="Calibri" w:hAnsi="Calibri" w:cs="Calibri"/>
        </w:rPr>
        <w:t xml:space="preserve">CoC’s </w:t>
      </w:r>
      <w:r w:rsidR="00D65BC5" w:rsidRPr="00694EAA">
        <w:rPr>
          <w:rFonts w:ascii="Calibri" w:hAnsi="Calibri" w:cs="Calibri"/>
        </w:rPr>
        <w:t>approval</w:t>
      </w:r>
      <w:r w:rsidRPr="00694EAA">
        <w:rPr>
          <w:rFonts w:ascii="Calibri" w:hAnsi="Calibri" w:cs="Calibri"/>
        </w:rPr>
        <w:t>.  Such expenses may be</w:t>
      </w:r>
      <w:r w:rsidR="00D65BC5" w:rsidRPr="00694EAA">
        <w:rPr>
          <w:rFonts w:ascii="Calibri" w:hAnsi="Calibri" w:cs="Calibri"/>
        </w:rPr>
        <w:t xml:space="preserve"> subject</w:t>
      </w:r>
      <w:r w:rsidRPr="00694EAA">
        <w:rPr>
          <w:rFonts w:ascii="Calibri" w:hAnsi="Calibri" w:cs="Calibri"/>
        </w:rPr>
        <w:t>ed</w:t>
      </w:r>
      <w:r w:rsidR="00D65BC5" w:rsidRPr="00694EAA">
        <w:rPr>
          <w:rFonts w:ascii="Calibri" w:hAnsi="Calibri" w:cs="Calibri"/>
        </w:rPr>
        <w:t xml:space="preserve"> to a certain ceiling say upto Rs. 1 Lac per month </w:t>
      </w:r>
      <w:r w:rsidRPr="00694EAA">
        <w:rPr>
          <w:rFonts w:ascii="Calibri" w:hAnsi="Calibri" w:cs="Calibri"/>
        </w:rPr>
        <w:t>as part of</w:t>
      </w:r>
      <w:r w:rsidR="00D65BC5" w:rsidRPr="00694EAA">
        <w:rPr>
          <w:rFonts w:ascii="Calibri" w:hAnsi="Calibri" w:cs="Calibri"/>
        </w:rPr>
        <w:t xml:space="preserve"> CIRP cost </w:t>
      </w:r>
      <w:r w:rsidRPr="00694EAA">
        <w:rPr>
          <w:rFonts w:ascii="Calibri" w:hAnsi="Calibri" w:cs="Calibri"/>
        </w:rPr>
        <w:t xml:space="preserve">to ensure </w:t>
      </w:r>
      <w:r w:rsidR="00D65BC5" w:rsidRPr="00694EAA">
        <w:rPr>
          <w:rFonts w:ascii="Calibri" w:hAnsi="Calibri" w:cs="Calibri"/>
        </w:rPr>
        <w:t xml:space="preserve">smooth conduct of CIRP/ liquidation. </w:t>
      </w:r>
    </w:p>
    <w:p w14:paraId="03B1E53D" w14:textId="6D93CF59" w:rsidR="00BF45D1" w:rsidRPr="00694EAA" w:rsidRDefault="00BF45D1" w:rsidP="00694EAA">
      <w:pPr>
        <w:pStyle w:val="ListParagraph"/>
        <w:numPr>
          <w:ilvl w:val="0"/>
          <w:numId w:val="48"/>
        </w:numPr>
        <w:spacing w:line="276" w:lineRule="auto"/>
        <w:ind w:left="993" w:hanging="284"/>
        <w:jc w:val="both"/>
        <w:rPr>
          <w:rFonts w:ascii="Calibri" w:hAnsi="Calibri" w:cs="Calibri"/>
        </w:rPr>
      </w:pPr>
      <w:r w:rsidRPr="00694EAA">
        <w:rPr>
          <w:rFonts w:ascii="Calibri" w:hAnsi="Calibri" w:cs="Calibri"/>
          <w:lang w:val="en-US"/>
        </w:rPr>
        <w:t xml:space="preserve">RPs/Liquidators may be allowed to exercise discretion to appoint the forensic expert/transaction auditor and incur expense as well, subject to checks and balances and in genuine circumstances, if in her/her opinion such appointment is required, even though not approved by CoC.   </w:t>
      </w:r>
    </w:p>
    <w:p w14:paraId="474C176D" w14:textId="77777777" w:rsidR="00BF45D1" w:rsidRDefault="00BF45D1" w:rsidP="00D65BC5">
      <w:pPr>
        <w:spacing w:line="276" w:lineRule="auto"/>
        <w:jc w:val="both"/>
        <w:rPr>
          <w:rFonts w:ascii="Calibri" w:hAnsi="Calibri" w:cs="Calibri"/>
        </w:rPr>
      </w:pPr>
    </w:p>
    <w:p w14:paraId="0C55B2F8" w14:textId="77777777" w:rsidR="00930F1B" w:rsidRPr="00FB7926" w:rsidRDefault="00930F1B" w:rsidP="00930F1B">
      <w:pPr>
        <w:pStyle w:val="ListParagraph"/>
        <w:numPr>
          <w:ilvl w:val="0"/>
          <w:numId w:val="1"/>
        </w:numPr>
        <w:spacing w:line="276" w:lineRule="auto"/>
        <w:jc w:val="both"/>
        <w:rPr>
          <w:b/>
          <w:bCs/>
          <w:lang w:val="fr-FR"/>
        </w:rPr>
      </w:pPr>
      <w:r w:rsidRPr="00FB7926">
        <w:rPr>
          <w:b/>
          <w:bCs/>
        </w:rPr>
        <w:t>Managing Post Resolution Responsibilities</w:t>
      </w:r>
      <w:r>
        <w:rPr>
          <w:b/>
          <w:bCs/>
        </w:rPr>
        <w:t xml:space="preserve"> by RP</w:t>
      </w:r>
    </w:p>
    <w:p w14:paraId="4EBF9B93" w14:textId="77777777" w:rsidR="00930F1B" w:rsidRDefault="00930F1B" w:rsidP="00930F1B">
      <w:pPr>
        <w:pStyle w:val="ListParagraph"/>
        <w:jc w:val="both"/>
        <w:rPr>
          <w:b/>
          <w:bCs/>
        </w:rPr>
      </w:pPr>
    </w:p>
    <w:p w14:paraId="27C03B2F" w14:textId="77777777" w:rsidR="00930F1B" w:rsidRPr="00801BDF" w:rsidRDefault="00930F1B" w:rsidP="00930F1B">
      <w:pPr>
        <w:pStyle w:val="ListParagraph"/>
        <w:jc w:val="both"/>
        <w:rPr>
          <w:b/>
          <w:bCs/>
        </w:rPr>
      </w:pPr>
      <w:r>
        <w:rPr>
          <w:b/>
          <w:bCs/>
        </w:rPr>
        <w:t>Issue</w:t>
      </w:r>
      <w:r w:rsidRPr="00801BDF">
        <w:rPr>
          <w:b/>
          <w:bCs/>
        </w:rPr>
        <w:t>:</w:t>
      </w:r>
    </w:p>
    <w:p w14:paraId="14AB3951" w14:textId="77777777" w:rsidR="00930F1B" w:rsidRPr="003367E9" w:rsidRDefault="00930F1B" w:rsidP="005E2A30">
      <w:pPr>
        <w:pStyle w:val="ListParagraph"/>
        <w:numPr>
          <w:ilvl w:val="0"/>
          <w:numId w:val="49"/>
        </w:numPr>
        <w:ind w:left="993" w:hanging="284"/>
        <w:jc w:val="both"/>
      </w:pPr>
      <w:r>
        <w:t>Upo</w:t>
      </w:r>
      <w:r w:rsidRPr="003367E9">
        <w:t xml:space="preserve">n </w:t>
      </w:r>
      <w:r>
        <w:t xml:space="preserve">filing </w:t>
      </w:r>
      <w:r w:rsidRPr="003367E9">
        <w:t>of the Resolution Plan</w:t>
      </w:r>
      <w:r>
        <w:t xml:space="preserve"> until handover of management of CD to SRA</w:t>
      </w:r>
      <w:r w:rsidRPr="003367E9">
        <w:t>, CoC</w:t>
      </w:r>
      <w:r>
        <w:t xml:space="preserve">’s role is limited or non-existent whereas </w:t>
      </w:r>
      <w:r w:rsidRPr="003367E9">
        <w:t>SRA</w:t>
      </w:r>
      <w:r>
        <w:t xml:space="preserve">’s role is potential in nature with </w:t>
      </w:r>
      <w:r w:rsidRPr="003367E9">
        <w:t>no formal rights</w:t>
      </w:r>
      <w:r>
        <w:t xml:space="preserve"> accruing until implementation of plan</w:t>
      </w:r>
      <w:r w:rsidRPr="003367E9">
        <w:t xml:space="preserve">. This creates a </w:t>
      </w:r>
      <w:r>
        <w:t xml:space="preserve">vacuum and </w:t>
      </w:r>
      <w:r w:rsidRPr="003367E9">
        <w:t>challeng</w:t>
      </w:r>
      <w:r>
        <w:t>es</w:t>
      </w:r>
      <w:r w:rsidRPr="003367E9">
        <w:t xml:space="preserve"> for the RP, especially if the approval of the Resolution Plan is delayed beyond reasonable time.</w:t>
      </w:r>
      <w:r>
        <w:t xml:space="preserve">  The challenges may be on account of incurring costs and efforts in maintaining going concern status of CD, meeting corporate compliances, ensuring seamless handover of management to SRA, etc. </w:t>
      </w:r>
    </w:p>
    <w:p w14:paraId="07C29798" w14:textId="77777777" w:rsidR="00930F1B" w:rsidRPr="003367E9" w:rsidRDefault="00930F1B" w:rsidP="00930F1B">
      <w:pPr>
        <w:pStyle w:val="ListParagraph"/>
        <w:jc w:val="both"/>
      </w:pPr>
    </w:p>
    <w:p w14:paraId="4F3E5A6A" w14:textId="77777777" w:rsidR="00930F1B" w:rsidRPr="003367E9" w:rsidRDefault="00930F1B" w:rsidP="00930F1B">
      <w:pPr>
        <w:pStyle w:val="ListParagraph"/>
        <w:jc w:val="both"/>
        <w:rPr>
          <w:b/>
          <w:bCs/>
        </w:rPr>
      </w:pPr>
      <w:r w:rsidRPr="003367E9">
        <w:rPr>
          <w:b/>
          <w:bCs/>
        </w:rPr>
        <w:t>Way Forward:</w:t>
      </w:r>
    </w:p>
    <w:p w14:paraId="261F7731" w14:textId="77777777" w:rsidR="00930F1B" w:rsidRPr="003367E9" w:rsidRDefault="00930F1B" w:rsidP="005E2A30">
      <w:pPr>
        <w:pStyle w:val="ListParagraph"/>
        <w:numPr>
          <w:ilvl w:val="0"/>
          <w:numId w:val="51"/>
        </w:numPr>
        <w:ind w:left="993" w:hanging="273"/>
        <w:jc w:val="both"/>
      </w:pPr>
      <w:r>
        <w:t>It sh</w:t>
      </w:r>
      <w:r w:rsidRPr="003367E9">
        <w:t xml:space="preserve">ould be </w:t>
      </w:r>
      <w:r>
        <w:t xml:space="preserve">made </w:t>
      </w:r>
      <w:r w:rsidRPr="003367E9">
        <w:t xml:space="preserve">mandatory </w:t>
      </w:r>
      <w:r>
        <w:t>as part of</w:t>
      </w:r>
      <w:r w:rsidRPr="003367E9">
        <w:t xml:space="preserve"> Resolution plan, </w:t>
      </w:r>
      <w:r>
        <w:t xml:space="preserve">as to </w:t>
      </w:r>
      <w:r w:rsidRPr="003367E9">
        <w:t>who will pursue the</w:t>
      </w:r>
      <w:r>
        <w:t xml:space="preserve"> business and compliance activity.   There </w:t>
      </w:r>
      <w:r w:rsidRPr="003367E9">
        <w:t xml:space="preserve">must </w:t>
      </w:r>
      <w:r>
        <w:t xml:space="preserve">be </w:t>
      </w:r>
      <w:r w:rsidRPr="003367E9">
        <w:t>dedicated funds for the same in the plan for this</w:t>
      </w:r>
      <w:r>
        <w:t xml:space="preserve"> purpose</w:t>
      </w:r>
      <w:r w:rsidRPr="003367E9">
        <w:t>, under the control of the person responsible to execute such activities.</w:t>
      </w:r>
    </w:p>
    <w:p w14:paraId="202C4EBF" w14:textId="77777777" w:rsidR="00930F1B" w:rsidRPr="003367E9" w:rsidRDefault="00930F1B" w:rsidP="005E2A30">
      <w:pPr>
        <w:pStyle w:val="ListParagraph"/>
        <w:numPr>
          <w:ilvl w:val="0"/>
          <w:numId w:val="51"/>
        </w:numPr>
        <w:ind w:left="993" w:hanging="273"/>
        <w:jc w:val="both"/>
      </w:pPr>
      <w:r w:rsidRPr="003367E9">
        <w:t>E</w:t>
      </w:r>
      <w:r>
        <w:t>nabling</w:t>
      </w:r>
      <w:r w:rsidRPr="003367E9">
        <w:t xml:space="preserve"> provision </w:t>
      </w:r>
      <w:r>
        <w:t xml:space="preserve">may be provided </w:t>
      </w:r>
      <w:r w:rsidRPr="003367E9">
        <w:t>to allow SRA to provide Interim Finance to the CD.</w:t>
      </w:r>
      <w:r>
        <w:t xml:space="preserve">  </w:t>
      </w:r>
      <w:r w:rsidRPr="003367E9">
        <w:t xml:space="preserve"> </w:t>
      </w:r>
      <w:r>
        <w:t>Currently, due of lack of clarity, SRAs refrain from such financing.</w:t>
      </w:r>
    </w:p>
    <w:p w14:paraId="5ED5B4D9" w14:textId="77777777" w:rsidR="00930F1B" w:rsidRPr="003367E9" w:rsidRDefault="00930F1B" w:rsidP="005E2A30">
      <w:pPr>
        <w:pStyle w:val="ListParagraph"/>
        <w:numPr>
          <w:ilvl w:val="0"/>
          <w:numId w:val="51"/>
        </w:numPr>
        <w:ind w:left="993" w:hanging="273"/>
        <w:jc w:val="both"/>
      </w:pPr>
      <w:r w:rsidRPr="003367E9">
        <w:t xml:space="preserve">Provision </w:t>
      </w:r>
      <w:r>
        <w:t xml:space="preserve">may be provided </w:t>
      </w:r>
      <w:r w:rsidRPr="003367E9">
        <w:t>for SRA to be present in the CoC meeting</w:t>
      </w:r>
      <w:r>
        <w:t>, though without voting power, after the plan is submitted to AA until its approval</w:t>
      </w:r>
      <w:r w:rsidRPr="003367E9">
        <w:t>.</w:t>
      </w:r>
    </w:p>
    <w:p w14:paraId="43F22B30" w14:textId="171D7FD3" w:rsidR="00981E86" w:rsidRPr="00D14F96" w:rsidRDefault="00930F1B" w:rsidP="00D14F96">
      <w:pPr>
        <w:pStyle w:val="ListParagraph"/>
        <w:numPr>
          <w:ilvl w:val="0"/>
          <w:numId w:val="51"/>
        </w:numPr>
        <w:ind w:left="993" w:hanging="273"/>
        <w:jc w:val="both"/>
      </w:pPr>
      <w:r w:rsidRPr="003367E9">
        <w:t xml:space="preserve">If RP is not part of </w:t>
      </w:r>
      <w:r>
        <w:t>the monitoring committee</w:t>
      </w:r>
      <w:r w:rsidRPr="003367E9">
        <w:t xml:space="preserve"> and </w:t>
      </w:r>
      <w:r>
        <w:t xml:space="preserve">he/she is required </w:t>
      </w:r>
      <w:r w:rsidRPr="003367E9">
        <w:t xml:space="preserve">to </w:t>
      </w:r>
      <w:r>
        <w:t>undertake an activity in official capacity</w:t>
      </w:r>
      <w:r w:rsidRPr="003367E9">
        <w:t xml:space="preserve">, </w:t>
      </w:r>
      <w:r>
        <w:t xml:space="preserve">there </w:t>
      </w:r>
      <w:r w:rsidRPr="003367E9">
        <w:t xml:space="preserve">should be </w:t>
      </w:r>
      <w:r>
        <w:t xml:space="preserve">provision in the resolution plan for </w:t>
      </w:r>
      <w:r w:rsidRPr="003367E9">
        <w:t>remunerat</w:t>
      </w:r>
      <w:r>
        <w:t xml:space="preserve">ing him/her. </w:t>
      </w:r>
    </w:p>
    <w:p w14:paraId="774E23D8" w14:textId="77777777" w:rsidR="00981E86" w:rsidRPr="00B128B9" w:rsidRDefault="00981E86" w:rsidP="00981E86">
      <w:pPr>
        <w:pStyle w:val="Heading1"/>
        <w:numPr>
          <w:ilvl w:val="0"/>
          <w:numId w:val="13"/>
        </w:numPr>
        <w:tabs>
          <w:tab w:val="num" w:pos="360"/>
        </w:tabs>
        <w:ind w:left="0" w:firstLine="0"/>
        <w:rPr>
          <w:rFonts w:cstheme="minorHAnsi"/>
          <w:u w:val="single"/>
        </w:rPr>
      </w:pPr>
      <w:bookmarkStart w:id="4" w:name="_Toc217034387"/>
      <w:r w:rsidRPr="00B128B9">
        <w:rPr>
          <w:rFonts w:cstheme="minorHAnsi"/>
          <w:u w:val="single"/>
        </w:rPr>
        <w:t>Issues and Way Forward related to IPE</w:t>
      </w:r>
      <w:bookmarkEnd w:id="4"/>
    </w:p>
    <w:p w14:paraId="48A433E7" w14:textId="77777777" w:rsidR="00981E86" w:rsidRPr="00981E86" w:rsidRDefault="00981E86" w:rsidP="00981E86"/>
    <w:p w14:paraId="0BC2117B" w14:textId="77777777" w:rsidR="00981E86" w:rsidRDefault="00981E86" w:rsidP="005F5507">
      <w:pPr>
        <w:pStyle w:val="ListParagraph"/>
        <w:numPr>
          <w:ilvl w:val="0"/>
          <w:numId w:val="61"/>
        </w:numPr>
        <w:spacing w:line="276" w:lineRule="auto"/>
        <w:jc w:val="both"/>
        <w:rPr>
          <w:b/>
          <w:bCs/>
        </w:rPr>
      </w:pPr>
      <w:r w:rsidRPr="00621EE4">
        <w:rPr>
          <w:b/>
          <w:bCs/>
        </w:rPr>
        <w:t>Limited traction in IPE (as juristic IP) model due to lack of clarity</w:t>
      </w:r>
      <w:r>
        <w:rPr>
          <w:b/>
          <w:bCs/>
        </w:rPr>
        <w:t>.</w:t>
      </w:r>
    </w:p>
    <w:p w14:paraId="2F25407A" w14:textId="77777777" w:rsidR="00981E86" w:rsidRPr="00621EE4" w:rsidRDefault="00981E86" w:rsidP="00981E86">
      <w:pPr>
        <w:pStyle w:val="ListParagraph"/>
        <w:spacing w:line="276" w:lineRule="auto"/>
        <w:jc w:val="both"/>
        <w:rPr>
          <w:b/>
          <w:bCs/>
        </w:rPr>
      </w:pPr>
    </w:p>
    <w:p w14:paraId="0C1D67AA" w14:textId="77777777" w:rsidR="00981E86" w:rsidRDefault="00981E86" w:rsidP="005E2A30">
      <w:pPr>
        <w:pStyle w:val="ListParagraph"/>
        <w:numPr>
          <w:ilvl w:val="0"/>
          <w:numId w:val="52"/>
        </w:numPr>
        <w:ind w:left="993" w:hanging="284"/>
        <w:jc w:val="both"/>
        <w:rPr>
          <w:rFonts w:cstheme="minorHAnsi"/>
        </w:rPr>
      </w:pPr>
      <w:r w:rsidRPr="00B331B9">
        <w:rPr>
          <w:rFonts w:cstheme="minorHAnsi"/>
        </w:rPr>
        <w:t>The</w:t>
      </w:r>
      <w:r w:rsidRPr="00B331B9">
        <w:rPr>
          <w:rFonts w:cstheme="minorHAnsi"/>
          <w:b/>
          <w:bCs/>
        </w:rPr>
        <w:t xml:space="preserve"> </w:t>
      </w:r>
      <w:r w:rsidRPr="00B331B9">
        <w:rPr>
          <w:rFonts w:cstheme="minorHAnsi"/>
        </w:rPr>
        <w:t xml:space="preserve">amendment to IBBI (Insolvency Professionals) Regulation 2016, wherein an IPE recognized by the </w:t>
      </w:r>
      <w:r>
        <w:rPr>
          <w:rFonts w:cstheme="minorHAnsi"/>
        </w:rPr>
        <w:t>IBB</w:t>
      </w:r>
      <w:r w:rsidRPr="00B331B9">
        <w:rPr>
          <w:rFonts w:cstheme="minorHAnsi"/>
        </w:rPr>
        <w:t xml:space="preserve"> can seek to be registered as an IP was made effective from </w:t>
      </w:r>
      <w:r w:rsidRPr="00B331B9">
        <w:rPr>
          <w:rFonts w:cstheme="minorHAnsi"/>
        </w:rPr>
        <w:lastRenderedPageBreak/>
        <w:t>30</w:t>
      </w:r>
      <w:r w:rsidRPr="008F15ED">
        <w:rPr>
          <w:rFonts w:cstheme="minorHAnsi"/>
          <w:vertAlign w:val="superscript"/>
        </w:rPr>
        <w:t>th</w:t>
      </w:r>
      <w:r>
        <w:rPr>
          <w:rFonts w:cstheme="minorHAnsi"/>
        </w:rPr>
        <w:t xml:space="preserve"> </w:t>
      </w:r>
      <w:r w:rsidRPr="00B331B9">
        <w:rPr>
          <w:rFonts w:cstheme="minorHAnsi"/>
        </w:rPr>
        <w:t>Sep</w:t>
      </w:r>
      <w:r>
        <w:rPr>
          <w:rFonts w:cstheme="minorHAnsi"/>
        </w:rPr>
        <w:t>t. 20</w:t>
      </w:r>
      <w:r w:rsidRPr="00B331B9">
        <w:rPr>
          <w:rFonts w:cstheme="minorHAnsi"/>
        </w:rPr>
        <w:t>22.</w:t>
      </w:r>
      <w:r>
        <w:rPr>
          <w:rFonts w:cstheme="minorHAnsi"/>
        </w:rPr>
        <w:t xml:space="preserve">   Until then IPEs could only be recognised by IBBI for delivering support services to individual IPs who may or may not be its partner/director.  </w:t>
      </w:r>
      <w:r w:rsidRPr="00B331B9">
        <w:rPr>
          <w:rFonts w:cstheme="minorHAnsi"/>
        </w:rPr>
        <w:t xml:space="preserve">The intent behind the said amendment was to address the limitation of an IP being an individual in dealing with complex engagements and running the operations of CD requiring concurrent efforts and multi-disciplinary expertise. </w:t>
      </w:r>
      <w:r>
        <w:rPr>
          <w:rFonts w:cstheme="minorHAnsi"/>
        </w:rPr>
        <w:t xml:space="preserve"> </w:t>
      </w:r>
      <w:r w:rsidRPr="00B331B9">
        <w:rPr>
          <w:rFonts w:cstheme="minorHAnsi"/>
        </w:rPr>
        <w:t>Further, the institutional design of the IPEs would assist in better conduct of the processes owing to their resourcefulness and corporate governance and risk management mechanisms.</w:t>
      </w:r>
    </w:p>
    <w:p w14:paraId="5F1E89D9" w14:textId="77777777" w:rsidR="00981E86" w:rsidRDefault="00981E86" w:rsidP="005E2A30">
      <w:pPr>
        <w:pStyle w:val="ListParagraph"/>
        <w:ind w:left="993" w:hanging="284"/>
        <w:jc w:val="both"/>
        <w:rPr>
          <w:rFonts w:cstheme="minorHAnsi"/>
        </w:rPr>
      </w:pPr>
    </w:p>
    <w:p w14:paraId="319B204D" w14:textId="77777777" w:rsidR="00981E86" w:rsidRPr="00B331B9" w:rsidRDefault="00981E86" w:rsidP="005E2A30">
      <w:pPr>
        <w:pStyle w:val="ListParagraph"/>
        <w:numPr>
          <w:ilvl w:val="0"/>
          <w:numId w:val="52"/>
        </w:numPr>
        <w:ind w:left="993" w:hanging="284"/>
        <w:jc w:val="both"/>
        <w:rPr>
          <w:rFonts w:cstheme="minorHAnsi"/>
        </w:rPr>
      </w:pPr>
      <w:r>
        <w:rPr>
          <w:rFonts w:cstheme="minorHAnsi"/>
        </w:rPr>
        <w:t xml:space="preserve">Further, it was clearly evident that in large cases lenders preferred to appoint an IRP/RP individuals associated with large multidisciplinary firms and appoint IPEs to support such IRP / RP in the conduct of the engagement.  Accordingly, it was decided to allow an IPE (as a jurist person) to take the roles and responsibilities on IRP/RP/Liquidator. </w:t>
      </w:r>
    </w:p>
    <w:p w14:paraId="68ECEDD7" w14:textId="77777777" w:rsidR="00981E86" w:rsidRPr="009357A7" w:rsidRDefault="00981E86" w:rsidP="005E2A30">
      <w:pPr>
        <w:pStyle w:val="ListParagraph"/>
        <w:ind w:left="993"/>
        <w:jc w:val="both"/>
        <w:rPr>
          <w:rFonts w:cstheme="minorHAnsi"/>
        </w:rPr>
      </w:pPr>
      <w:r w:rsidRPr="009357A7">
        <w:rPr>
          <w:rFonts w:cstheme="minorHAnsi"/>
        </w:rPr>
        <w:t>However, the desired traction of active engagement of IPEs in taking IBC assignments has not been achieved.</w:t>
      </w:r>
    </w:p>
    <w:p w14:paraId="646D34D5" w14:textId="77777777" w:rsidR="00981E86" w:rsidRPr="00B331B9" w:rsidRDefault="00981E86" w:rsidP="00981E86">
      <w:pPr>
        <w:pStyle w:val="ListParagraph"/>
        <w:jc w:val="both"/>
        <w:rPr>
          <w:rFonts w:cstheme="minorHAnsi"/>
        </w:rPr>
      </w:pPr>
    </w:p>
    <w:p w14:paraId="4C90C684" w14:textId="77777777" w:rsidR="00981E86" w:rsidRPr="00B331B9" w:rsidRDefault="00981E86" w:rsidP="00981E86">
      <w:pPr>
        <w:pStyle w:val="ListParagraph"/>
        <w:jc w:val="both"/>
        <w:rPr>
          <w:rFonts w:cstheme="minorHAnsi"/>
          <w:b/>
          <w:bCs/>
          <w:u w:val="single"/>
        </w:rPr>
      </w:pPr>
      <w:r w:rsidRPr="00B331B9">
        <w:rPr>
          <w:rFonts w:cstheme="minorHAnsi"/>
          <w:b/>
          <w:bCs/>
          <w:u w:val="single"/>
        </w:rPr>
        <w:t>Key Challenges/Issues</w:t>
      </w:r>
    </w:p>
    <w:tbl>
      <w:tblPr>
        <w:tblStyle w:val="TableGrid"/>
        <w:tblpPr w:leftFromText="180" w:rightFromText="180" w:vertAnchor="text" w:horzAnchor="page" w:tblpX="1426" w:tblpY="224"/>
        <w:tblW w:w="9949" w:type="dxa"/>
        <w:tblLook w:val="04A0" w:firstRow="1" w:lastRow="0" w:firstColumn="1" w:lastColumn="0" w:noHBand="0" w:noVBand="1"/>
      </w:tblPr>
      <w:tblGrid>
        <w:gridCol w:w="745"/>
        <w:gridCol w:w="3503"/>
        <w:gridCol w:w="5701"/>
      </w:tblGrid>
      <w:tr w:rsidR="00981E86" w:rsidRPr="00B331B9" w14:paraId="792CEEB1" w14:textId="77777777" w:rsidTr="0041376F">
        <w:tc>
          <w:tcPr>
            <w:tcW w:w="715" w:type="dxa"/>
          </w:tcPr>
          <w:p w14:paraId="691C8872" w14:textId="77777777" w:rsidR="00981E86" w:rsidRPr="00B331B9" w:rsidRDefault="00981E86" w:rsidP="0041376F">
            <w:pPr>
              <w:jc w:val="both"/>
              <w:rPr>
                <w:rFonts w:cstheme="minorHAnsi"/>
                <w:b/>
                <w:bCs/>
                <w:u w:val="single"/>
              </w:rPr>
            </w:pPr>
            <w:r w:rsidRPr="00B331B9">
              <w:rPr>
                <w:rFonts w:cstheme="minorHAnsi"/>
                <w:b/>
                <w:bCs/>
                <w:u w:val="single"/>
              </w:rPr>
              <w:t>S.No.</w:t>
            </w:r>
          </w:p>
        </w:tc>
        <w:tc>
          <w:tcPr>
            <w:tcW w:w="3510" w:type="dxa"/>
          </w:tcPr>
          <w:p w14:paraId="06AB7D18" w14:textId="77777777" w:rsidR="00981E86" w:rsidRPr="00B331B9" w:rsidRDefault="00981E86" w:rsidP="0041376F">
            <w:pPr>
              <w:jc w:val="both"/>
              <w:rPr>
                <w:rFonts w:cstheme="minorHAnsi"/>
                <w:b/>
                <w:bCs/>
                <w:u w:val="single"/>
              </w:rPr>
            </w:pPr>
            <w:r w:rsidRPr="00B331B9">
              <w:rPr>
                <w:rFonts w:cstheme="minorHAnsi"/>
                <w:b/>
                <w:bCs/>
                <w:u w:val="single"/>
              </w:rPr>
              <w:t>Challenge Issue</w:t>
            </w:r>
          </w:p>
        </w:tc>
        <w:tc>
          <w:tcPr>
            <w:tcW w:w="5724" w:type="dxa"/>
          </w:tcPr>
          <w:p w14:paraId="7BEAC8F9" w14:textId="77777777" w:rsidR="00981E86" w:rsidRPr="00B331B9" w:rsidRDefault="00981E86" w:rsidP="0041376F">
            <w:pPr>
              <w:jc w:val="both"/>
              <w:rPr>
                <w:rFonts w:cstheme="minorHAnsi"/>
                <w:b/>
                <w:bCs/>
                <w:u w:val="single"/>
              </w:rPr>
            </w:pPr>
            <w:r w:rsidRPr="00B331B9">
              <w:rPr>
                <w:rFonts w:cstheme="minorHAnsi"/>
                <w:b/>
                <w:bCs/>
                <w:u w:val="single"/>
              </w:rPr>
              <w:t>Way forward &amp; Rationale</w:t>
            </w:r>
          </w:p>
        </w:tc>
      </w:tr>
      <w:tr w:rsidR="00981E86" w:rsidRPr="00B331B9" w14:paraId="7F2D956F" w14:textId="77777777" w:rsidTr="0041376F">
        <w:tc>
          <w:tcPr>
            <w:tcW w:w="715" w:type="dxa"/>
          </w:tcPr>
          <w:p w14:paraId="4BCDEE6B" w14:textId="77777777" w:rsidR="00981E86" w:rsidRPr="00B331B9" w:rsidRDefault="00981E86" w:rsidP="0041376F">
            <w:pPr>
              <w:pStyle w:val="ListParagraph"/>
              <w:numPr>
                <w:ilvl w:val="0"/>
                <w:numId w:val="15"/>
              </w:numPr>
              <w:jc w:val="both"/>
              <w:rPr>
                <w:rFonts w:cstheme="minorHAnsi"/>
              </w:rPr>
            </w:pPr>
          </w:p>
        </w:tc>
        <w:tc>
          <w:tcPr>
            <w:tcW w:w="3510" w:type="dxa"/>
          </w:tcPr>
          <w:p w14:paraId="36404AED" w14:textId="77777777" w:rsidR="00981E86" w:rsidRPr="005E1EE4" w:rsidRDefault="00981E86" w:rsidP="0041376F">
            <w:pPr>
              <w:jc w:val="both"/>
              <w:rPr>
                <w:rFonts w:cstheme="minorHAnsi"/>
                <w:b/>
                <w:bCs/>
              </w:rPr>
            </w:pPr>
            <w:r w:rsidRPr="00B331B9">
              <w:rPr>
                <w:rFonts w:cstheme="minorHAnsi"/>
                <w:b/>
                <w:bCs/>
              </w:rPr>
              <w:t xml:space="preserve">Cost Effectiveness of Engaging an IPE – </w:t>
            </w:r>
            <w:r w:rsidRPr="005E1EE4">
              <w:rPr>
                <w:rFonts w:cstheme="minorHAnsi"/>
              </w:rPr>
              <w:t xml:space="preserve">Market perceives IPEs as costly due to their institutionalized structure </w:t>
            </w:r>
            <w:r>
              <w:rPr>
                <w:rFonts w:cstheme="minorHAnsi"/>
              </w:rPr>
              <w:t xml:space="preserve">and </w:t>
            </w:r>
            <w:r w:rsidRPr="005E1EE4">
              <w:rPr>
                <w:rFonts w:cstheme="minorHAnsi"/>
              </w:rPr>
              <w:t>governance structure as compared to Individuals.</w:t>
            </w:r>
          </w:p>
        </w:tc>
        <w:tc>
          <w:tcPr>
            <w:tcW w:w="5724" w:type="dxa"/>
          </w:tcPr>
          <w:p w14:paraId="5B872795" w14:textId="77777777" w:rsidR="00981E86" w:rsidRDefault="00981E86" w:rsidP="0041376F">
            <w:pPr>
              <w:pStyle w:val="ListParagraph"/>
              <w:numPr>
                <w:ilvl w:val="0"/>
                <w:numId w:val="16"/>
              </w:numPr>
              <w:jc w:val="both"/>
              <w:rPr>
                <w:rFonts w:cstheme="minorHAnsi"/>
              </w:rPr>
            </w:pPr>
            <w:r w:rsidRPr="00B95FA8">
              <w:rPr>
                <w:rFonts w:cstheme="minorHAnsi"/>
              </w:rPr>
              <w:t xml:space="preserve">Prescription of fee range based on certain parameters to deter insincere IPs who are bent upon </w:t>
            </w:r>
            <w:r>
              <w:rPr>
                <w:rFonts w:cstheme="minorHAnsi"/>
              </w:rPr>
              <w:t xml:space="preserve">taking </w:t>
            </w:r>
            <w:r w:rsidRPr="00B95FA8">
              <w:rPr>
                <w:rFonts w:cstheme="minorHAnsi"/>
              </w:rPr>
              <w:t>work by quoting low fee.</w:t>
            </w:r>
          </w:p>
          <w:p w14:paraId="6B0675E3" w14:textId="77777777" w:rsidR="00981E86" w:rsidRPr="00B95FA8" w:rsidRDefault="00981E86" w:rsidP="0041376F">
            <w:pPr>
              <w:pStyle w:val="ListParagraph"/>
              <w:ind w:left="340"/>
              <w:jc w:val="both"/>
              <w:rPr>
                <w:rFonts w:cstheme="minorHAnsi"/>
              </w:rPr>
            </w:pPr>
          </w:p>
          <w:p w14:paraId="71E581D8" w14:textId="77777777" w:rsidR="00981E86" w:rsidRDefault="00981E86" w:rsidP="0041376F">
            <w:pPr>
              <w:pStyle w:val="ListParagraph"/>
              <w:numPr>
                <w:ilvl w:val="0"/>
                <w:numId w:val="16"/>
              </w:numPr>
              <w:jc w:val="both"/>
              <w:rPr>
                <w:rFonts w:cstheme="minorHAnsi"/>
              </w:rPr>
            </w:pPr>
            <w:r w:rsidRPr="00B331B9">
              <w:rPr>
                <w:rFonts w:cstheme="minorHAnsi"/>
              </w:rPr>
              <w:t>Make it mandatory for engaging an IPE for Insolvency cases where the financial exposure/debt is above a certain limi</w:t>
            </w:r>
            <w:r>
              <w:rPr>
                <w:rFonts w:cstheme="minorHAnsi"/>
              </w:rPr>
              <w:t>t</w:t>
            </w:r>
            <w:r w:rsidRPr="00B331B9">
              <w:rPr>
                <w:rFonts w:cstheme="minorHAnsi"/>
              </w:rPr>
              <w:t xml:space="preserve">. This will enable the CoC to receive competitive bids </w:t>
            </w:r>
            <w:r>
              <w:rPr>
                <w:rFonts w:cstheme="minorHAnsi"/>
              </w:rPr>
              <w:t>and</w:t>
            </w:r>
            <w:r w:rsidRPr="00B331B9">
              <w:rPr>
                <w:rFonts w:cstheme="minorHAnsi"/>
              </w:rPr>
              <w:t xml:space="preserve"> may further increase participation of IPEs</w:t>
            </w:r>
            <w:r>
              <w:rPr>
                <w:rFonts w:cstheme="minorHAnsi"/>
              </w:rPr>
              <w:t xml:space="preserve"> as i</w:t>
            </w:r>
            <w:r w:rsidRPr="005E1EE4">
              <w:rPr>
                <w:rFonts w:cstheme="minorHAnsi"/>
              </w:rPr>
              <w:t xml:space="preserve">t may assist in further reducing overall cost for IPEs </w:t>
            </w:r>
            <w:r>
              <w:rPr>
                <w:rFonts w:cstheme="minorHAnsi"/>
              </w:rPr>
              <w:t>(</w:t>
            </w:r>
            <w:r w:rsidRPr="005E1EE4">
              <w:rPr>
                <w:rFonts w:cstheme="minorHAnsi"/>
              </w:rPr>
              <w:t>cater to more cases with same infrastructure</w:t>
            </w:r>
            <w:r>
              <w:rPr>
                <w:rFonts w:cstheme="minorHAnsi"/>
              </w:rPr>
              <w:t>)</w:t>
            </w:r>
          </w:p>
          <w:p w14:paraId="0CB32964" w14:textId="77777777" w:rsidR="00981E86" w:rsidRPr="005510C0" w:rsidRDefault="00981E86" w:rsidP="0041376F">
            <w:pPr>
              <w:pStyle w:val="ListParagraph"/>
              <w:rPr>
                <w:rFonts w:cstheme="minorHAnsi"/>
              </w:rPr>
            </w:pPr>
          </w:p>
          <w:p w14:paraId="5047A6C9" w14:textId="77777777" w:rsidR="00981E86" w:rsidRDefault="00981E86" w:rsidP="0041376F">
            <w:pPr>
              <w:pStyle w:val="ListParagraph"/>
              <w:numPr>
                <w:ilvl w:val="0"/>
                <w:numId w:val="16"/>
              </w:numPr>
              <w:jc w:val="both"/>
              <w:rPr>
                <w:rFonts w:cstheme="minorHAnsi"/>
              </w:rPr>
            </w:pPr>
            <w:r>
              <w:rPr>
                <w:rFonts w:cstheme="minorHAnsi"/>
              </w:rPr>
              <w:t xml:space="preserve">Similar to ICAI, firms with higher number of IP partners should be preferred and given weightage in complex and large engagements. </w:t>
            </w:r>
          </w:p>
          <w:p w14:paraId="67D65578" w14:textId="77777777" w:rsidR="00981E86" w:rsidRPr="005510C0" w:rsidRDefault="00981E86" w:rsidP="0041376F">
            <w:pPr>
              <w:pStyle w:val="ListParagraph"/>
              <w:rPr>
                <w:rFonts w:cstheme="minorHAnsi"/>
              </w:rPr>
            </w:pPr>
          </w:p>
          <w:p w14:paraId="2499BE61" w14:textId="77777777" w:rsidR="00981E86" w:rsidRDefault="00981E86" w:rsidP="0041376F">
            <w:pPr>
              <w:pStyle w:val="ListParagraph"/>
              <w:numPr>
                <w:ilvl w:val="0"/>
                <w:numId w:val="16"/>
              </w:numPr>
              <w:jc w:val="both"/>
              <w:rPr>
                <w:rFonts w:cstheme="minorHAnsi"/>
              </w:rPr>
            </w:pPr>
            <w:r>
              <w:rPr>
                <w:rFonts w:cstheme="minorHAnsi"/>
              </w:rPr>
              <w:t>A different fee scale may be prescribed for IPEs providing multi-disciplinary services like investment banking, etc alongwith its role as an IRP/RP</w:t>
            </w:r>
          </w:p>
          <w:p w14:paraId="3929444A" w14:textId="77777777" w:rsidR="00981E86" w:rsidRPr="005510C0" w:rsidRDefault="00981E86" w:rsidP="0041376F">
            <w:pPr>
              <w:jc w:val="both"/>
              <w:rPr>
                <w:rFonts w:cstheme="minorHAnsi"/>
              </w:rPr>
            </w:pPr>
          </w:p>
        </w:tc>
      </w:tr>
      <w:tr w:rsidR="00981E86" w:rsidRPr="00B331B9" w14:paraId="31DF6D3E" w14:textId="77777777" w:rsidTr="0041376F">
        <w:tc>
          <w:tcPr>
            <w:tcW w:w="715" w:type="dxa"/>
          </w:tcPr>
          <w:p w14:paraId="12CAB944" w14:textId="77777777" w:rsidR="00981E86" w:rsidRPr="00B331B9" w:rsidRDefault="00981E86" w:rsidP="0041376F">
            <w:pPr>
              <w:pStyle w:val="ListParagraph"/>
              <w:numPr>
                <w:ilvl w:val="0"/>
                <w:numId w:val="15"/>
              </w:numPr>
              <w:jc w:val="both"/>
              <w:rPr>
                <w:rFonts w:cstheme="minorHAnsi"/>
                <w:b/>
                <w:bCs/>
                <w:u w:val="single"/>
              </w:rPr>
            </w:pPr>
          </w:p>
        </w:tc>
        <w:tc>
          <w:tcPr>
            <w:tcW w:w="3510" w:type="dxa"/>
          </w:tcPr>
          <w:p w14:paraId="06321596" w14:textId="77777777" w:rsidR="00981E86" w:rsidRPr="00BF65CF" w:rsidRDefault="00981E86" w:rsidP="0041376F">
            <w:pPr>
              <w:rPr>
                <w:rFonts w:cstheme="minorHAnsi"/>
              </w:rPr>
            </w:pPr>
            <w:r w:rsidRPr="00BF65CF">
              <w:rPr>
                <w:rFonts w:cstheme="minorHAnsi"/>
                <w:b/>
                <w:bCs/>
              </w:rPr>
              <w:t>Minimum resource requirement/structure of IPE</w:t>
            </w:r>
            <w:r w:rsidRPr="00BF65CF">
              <w:rPr>
                <w:rFonts w:cstheme="minorHAnsi"/>
              </w:rPr>
              <w:t xml:space="preserve"> – No proper mechanism available with CoC for selecting IPEs, </w:t>
            </w:r>
            <w:r w:rsidRPr="00BF65CF">
              <w:rPr>
                <w:rFonts w:cstheme="minorHAnsi"/>
              </w:rPr>
              <w:lastRenderedPageBreak/>
              <w:t>resulting in non-standardized bids.</w:t>
            </w:r>
          </w:p>
        </w:tc>
        <w:tc>
          <w:tcPr>
            <w:tcW w:w="5724" w:type="dxa"/>
          </w:tcPr>
          <w:p w14:paraId="4A72D197" w14:textId="77777777" w:rsidR="00981E86" w:rsidRPr="009964FF" w:rsidRDefault="00981E86" w:rsidP="0041376F">
            <w:pPr>
              <w:pStyle w:val="ListParagraph"/>
              <w:numPr>
                <w:ilvl w:val="0"/>
                <w:numId w:val="25"/>
              </w:numPr>
              <w:rPr>
                <w:rFonts w:cstheme="minorHAnsi"/>
              </w:rPr>
            </w:pPr>
            <w:r w:rsidRPr="007F55EE">
              <w:rPr>
                <w:rFonts w:cstheme="minorHAnsi"/>
              </w:rPr>
              <w:lastRenderedPageBreak/>
              <w:t xml:space="preserve">Minimum resource requirement for participation as an IPE may be defined for Corporate Debtor under insolvency with financial debt exposure above </w:t>
            </w:r>
            <w:r w:rsidRPr="007F55EE">
              <w:rPr>
                <w:rFonts w:cstheme="minorHAnsi"/>
              </w:rPr>
              <w:lastRenderedPageBreak/>
              <w:t xml:space="preserve">certain limit to improve value recovery &amp; competitiveness of the process. </w:t>
            </w:r>
          </w:p>
        </w:tc>
      </w:tr>
      <w:tr w:rsidR="00981E86" w:rsidRPr="00B331B9" w14:paraId="053D6340" w14:textId="77777777" w:rsidTr="0041376F">
        <w:tc>
          <w:tcPr>
            <w:tcW w:w="715" w:type="dxa"/>
          </w:tcPr>
          <w:p w14:paraId="636E9FC4" w14:textId="77777777" w:rsidR="00981E86" w:rsidRPr="00BF65CF" w:rsidRDefault="00981E86" w:rsidP="0041376F">
            <w:pPr>
              <w:pStyle w:val="ListParagraph"/>
              <w:numPr>
                <w:ilvl w:val="0"/>
                <w:numId w:val="15"/>
              </w:numPr>
              <w:jc w:val="both"/>
              <w:rPr>
                <w:rFonts w:cstheme="minorHAnsi"/>
                <w:b/>
                <w:bCs/>
                <w:u w:val="single"/>
              </w:rPr>
            </w:pPr>
          </w:p>
        </w:tc>
        <w:tc>
          <w:tcPr>
            <w:tcW w:w="3510" w:type="dxa"/>
          </w:tcPr>
          <w:p w14:paraId="25F3FD8B" w14:textId="77777777" w:rsidR="00981E86" w:rsidRPr="005428D4" w:rsidRDefault="00981E86" w:rsidP="0041376F">
            <w:pPr>
              <w:rPr>
                <w:rFonts w:cstheme="minorHAnsi"/>
              </w:rPr>
            </w:pPr>
            <w:r w:rsidRPr="005428D4">
              <w:rPr>
                <w:rFonts w:cstheme="minorHAnsi"/>
                <w:b/>
                <w:bCs/>
              </w:rPr>
              <w:t>Joint liability of all IPs registered with IPE may be counterintuitive</w:t>
            </w:r>
            <w:r w:rsidRPr="005428D4">
              <w:rPr>
                <w:rFonts w:cstheme="minorHAnsi"/>
              </w:rPr>
              <w:t xml:space="preserve"> – As per the IBBI (Insolvency Professional) Regulations, 2016 – IPE registration shall be valid subject to the conditions that all the IPs of the IPE are fit &amp; proper and satisfy the eligibility criteria in Regulation 4 of Insolvency Professionals, Regulations, 2016 all the time. This may discourage IPs to form IPE and work together.</w:t>
            </w:r>
          </w:p>
        </w:tc>
        <w:tc>
          <w:tcPr>
            <w:tcW w:w="5724" w:type="dxa"/>
          </w:tcPr>
          <w:p w14:paraId="1C528115" w14:textId="77777777" w:rsidR="00981E86" w:rsidRPr="005428D4" w:rsidRDefault="00981E86" w:rsidP="0041376F">
            <w:pPr>
              <w:pStyle w:val="ListParagraph"/>
              <w:numPr>
                <w:ilvl w:val="0"/>
                <w:numId w:val="17"/>
              </w:numPr>
              <w:jc w:val="both"/>
              <w:rPr>
                <w:rFonts w:cstheme="minorHAnsi"/>
              </w:rPr>
            </w:pPr>
            <w:r w:rsidRPr="005428D4">
              <w:rPr>
                <w:rFonts w:cstheme="minorHAnsi"/>
              </w:rPr>
              <w:t xml:space="preserve">The CIRP cases are undertaken by an Insolvency Professional with support from other professionals of IPE; there might be instances wherein due to the misconduct or misjudgment of one of the IP being overlooked by the other members of IPE overseeing the assignment. </w:t>
            </w:r>
          </w:p>
          <w:p w14:paraId="242ED653" w14:textId="77777777" w:rsidR="00981E86" w:rsidRPr="005428D4" w:rsidRDefault="00981E86" w:rsidP="0041376F">
            <w:pPr>
              <w:pStyle w:val="ListParagraph"/>
              <w:ind w:left="340"/>
              <w:jc w:val="both"/>
              <w:rPr>
                <w:rFonts w:cstheme="minorHAnsi"/>
              </w:rPr>
            </w:pPr>
          </w:p>
          <w:p w14:paraId="33E103DF" w14:textId="77777777" w:rsidR="00981E86" w:rsidRPr="005428D4" w:rsidRDefault="00981E86" w:rsidP="0041376F">
            <w:pPr>
              <w:pStyle w:val="ListParagraph"/>
              <w:numPr>
                <w:ilvl w:val="0"/>
                <w:numId w:val="17"/>
              </w:numPr>
              <w:jc w:val="both"/>
              <w:rPr>
                <w:rFonts w:cstheme="minorHAnsi"/>
              </w:rPr>
            </w:pPr>
            <w:r w:rsidRPr="005428D4">
              <w:rPr>
                <w:rFonts w:cstheme="minorHAnsi"/>
              </w:rPr>
              <w:t>Penalizing the IPE for the misconduct of an individual member may be counterintuitive and discourage the participation of IPEs.</w:t>
            </w:r>
          </w:p>
          <w:p w14:paraId="5A5E540F" w14:textId="77777777" w:rsidR="00981E86" w:rsidRPr="005428D4" w:rsidRDefault="00981E86" w:rsidP="0041376F">
            <w:pPr>
              <w:pStyle w:val="ListParagraph"/>
              <w:rPr>
                <w:rFonts w:cstheme="minorHAnsi"/>
              </w:rPr>
            </w:pPr>
          </w:p>
          <w:p w14:paraId="6FCB9950" w14:textId="77777777" w:rsidR="00981E86" w:rsidRDefault="00981E86" w:rsidP="0041376F">
            <w:pPr>
              <w:pStyle w:val="ListParagraph"/>
              <w:numPr>
                <w:ilvl w:val="0"/>
                <w:numId w:val="17"/>
              </w:numPr>
              <w:jc w:val="both"/>
              <w:rPr>
                <w:rFonts w:cstheme="minorHAnsi"/>
              </w:rPr>
            </w:pPr>
            <w:r w:rsidRPr="005428D4">
              <w:rPr>
                <w:rFonts w:cstheme="minorHAnsi"/>
              </w:rPr>
              <w:t>The regulations may be amended to introduce specific provisions such as introducing cooling off period for IPEs to bid for fresh cases and penalties may be levied on case-to-case basis on the IPEs in case of negligence of duties rather than keep</w:t>
            </w:r>
            <w:r>
              <w:rPr>
                <w:rFonts w:cstheme="minorHAnsi"/>
              </w:rPr>
              <w:t>ing</w:t>
            </w:r>
            <w:r w:rsidRPr="005428D4">
              <w:rPr>
                <w:rFonts w:cstheme="minorHAnsi"/>
              </w:rPr>
              <w:t xml:space="preserve"> it open ended.</w:t>
            </w:r>
          </w:p>
          <w:p w14:paraId="70C59868" w14:textId="77777777" w:rsidR="00981E86" w:rsidRPr="00B4326A" w:rsidRDefault="00981E86" w:rsidP="0041376F">
            <w:pPr>
              <w:pStyle w:val="ListParagraph"/>
              <w:rPr>
                <w:rFonts w:cstheme="minorHAnsi"/>
              </w:rPr>
            </w:pPr>
          </w:p>
          <w:p w14:paraId="6774C1D8" w14:textId="77777777" w:rsidR="00981E86" w:rsidRPr="005428D4" w:rsidRDefault="00981E86" w:rsidP="0041376F">
            <w:pPr>
              <w:pStyle w:val="ListParagraph"/>
              <w:numPr>
                <w:ilvl w:val="0"/>
                <w:numId w:val="17"/>
              </w:numPr>
              <w:jc w:val="both"/>
              <w:rPr>
                <w:rFonts w:cstheme="minorHAnsi"/>
              </w:rPr>
            </w:pPr>
            <w:r>
              <w:rPr>
                <w:rFonts w:cstheme="minorHAnsi"/>
              </w:rPr>
              <w:t>Currently, a director/partner of IPE (as IP) against whom an order of suspension is passed by IBBI/IPA, is considered not to be fit &amp; proper.    For continuation of IPE (as IP), it becomes incumbent upon remaining partners to recast the deed or shareholding partners excluding such suspended partner/director.    However, there would be an anomaly when the CRIP being run by a designated partner (now suspended) would need to be transferred in the name of another partner/director.  There is no provision in the law for the same, unlike in case of individual IPs, where IP (even if suspended) continues to run the old cases.   Law/regulations may provide clarity and parity in such cases.</w:t>
            </w:r>
          </w:p>
        </w:tc>
      </w:tr>
      <w:tr w:rsidR="00981E86" w:rsidRPr="00B331B9" w14:paraId="0D2F3196" w14:textId="77777777" w:rsidTr="0041376F">
        <w:tc>
          <w:tcPr>
            <w:tcW w:w="715" w:type="dxa"/>
          </w:tcPr>
          <w:p w14:paraId="1F153152" w14:textId="77777777" w:rsidR="00981E86" w:rsidRPr="00BF65CF" w:rsidRDefault="00981E86" w:rsidP="0041376F">
            <w:pPr>
              <w:pStyle w:val="ListParagraph"/>
              <w:numPr>
                <w:ilvl w:val="0"/>
                <w:numId w:val="15"/>
              </w:numPr>
              <w:jc w:val="both"/>
              <w:rPr>
                <w:rFonts w:cstheme="minorHAnsi"/>
                <w:b/>
                <w:bCs/>
                <w:u w:val="single"/>
              </w:rPr>
            </w:pPr>
          </w:p>
        </w:tc>
        <w:tc>
          <w:tcPr>
            <w:tcW w:w="3510" w:type="dxa"/>
          </w:tcPr>
          <w:p w14:paraId="0B11CA91" w14:textId="77777777" w:rsidR="00981E86" w:rsidRPr="005428D4" w:rsidRDefault="00981E86" w:rsidP="0041376F">
            <w:pPr>
              <w:jc w:val="both"/>
              <w:rPr>
                <w:rFonts w:cstheme="minorHAnsi"/>
              </w:rPr>
            </w:pPr>
            <w:r w:rsidRPr="005428D4">
              <w:rPr>
                <w:b/>
                <w:bCs/>
              </w:rPr>
              <w:t>Perceived Independence -</w:t>
            </w:r>
            <w:r w:rsidRPr="005428D4">
              <w:t xml:space="preserve"> Creditors often believe individuals are less prone to conflicts of interest compared to entities that may have multiple commercial relationships. Independence and impartiality are critical under IBC. </w:t>
            </w:r>
          </w:p>
          <w:p w14:paraId="4494E3DC" w14:textId="77777777" w:rsidR="00981E86" w:rsidRPr="005428D4" w:rsidRDefault="00981E86" w:rsidP="0041376F">
            <w:pPr>
              <w:rPr>
                <w:rFonts w:cstheme="minorHAnsi"/>
                <w:b/>
                <w:bCs/>
              </w:rPr>
            </w:pPr>
          </w:p>
        </w:tc>
        <w:tc>
          <w:tcPr>
            <w:tcW w:w="5724" w:type="dxa"/>
          </w:tcPr>
          <w:p w14:paraId="1EF637D4" w14:textId="77777777" w:rsidR="00981E86" w:rsidRPr="005428D4" w:rsidRDefault="00981E86" w:rsidP="0041376F">
            <w:pPr>
              <w:pStyle w:val="ListParagraph"/>
              <w:numPr>
                <w:ilvl w:val="0"/>
                <w:numId w:val="27"/>
              </w:numPr>
              <w:jc w:val="both"/>
              <w:rPr>
                <w:rFonts w:cstheme="minorHAnsi"/>
              </w:rPr>
            </w:pPr>
            <w:r w:rsidRPr="005428D4">
              <w:rPr>
                <w:rFonts w:cstheme="minorHAnsi"/>
              </w:rPr>
              <w:t>The regulations may be amended to m</w:t>
            </w:r>
            <w:r w:rsidRPr="005428D4">
              <w:t>andate IPEs to disclose all existing commercial relationships with creditors, debtors, and related parties before appointment.</w:t>
            </w:r>
          </w:p>
          <w:p w14:paraId="66C88FBD" w14:textId="77777777" w:rsidR="00981E86" w:rsidRPr="005428D4" w:rsidRDefault="00981E86" w:rsidP="0041376F">
            <w:pPr>
              <w:jc w:val="both"/>
              <w:rPr>
                <w:rFonts w:cstheme="minorHAnsi"/>
              </w:rPr>
            </w:pPr>
          </w:p>
          <w:p w14:paraId="373F29B1" w14:textId="77777777" w:rsidR="00981E86" w:rsidRPr="005428D4" w:rsidRDefault="00981E86" w:rsidP="0041376F">
            <w:pPr>
              <w:pStyle w:val="ListParagraph"/>
              <w:numPr>
                <w:ilvl w:val="0"/>
                <w:numId w:val="28"/>
              </w:numPr>
              <w:jc w:val="both"/>
              <w:rPr>
                <w:rFonts w:cstheme="minorHAnsi"/>
              </w:rPr>
            </w:pPr>
            <w:r w:rsidRPr="005428D4">
              <w:t>Mechanism may be introduced where IPEs are subject to review by IPAs or an independent panel to ensure impartiality.</w:t>
            </w:r>
          </w:p>
        </w:tc>
      </w:tr>
      <w:tr w:rsidR="00981E86" w:rsidRPr="00B331B9" w14:paraId="6B708A56" w14:textId="77777777" w:rsidTr="0041376F">
        <w:tc>
          <w:tcPr>
            <w:tcW w:w="715" w:type="dxa"/>
          </w:tcPr>
          <w:p w14:paraId="668E0981" w14:textId="77777777" w:rsidR="00981E86" w:rsidRPr="00BF65CF" w:rsidRDefault="00981E86" w:rsidP="0041376F">
            <w:pPr>
              <w:pStyle w:val="ListParagraph"/>
              <w:numPr>
                <w:ilvl w:val="0"/>
                <w:numId w:val="15"/>
              </w:numPr>
              <w:jc w:val="both"/>
              <w:rPr>
                <w:rFonts w:cstheme="minorHAnsi"/>
                <w:b/>
                <w:bCs/>
                <w:u w:val="single"/>
              </w:rPr>
            </w:pPr>
          </w:p>
        </w:tc>
        <w:tc>
          <w:tcPr>
            <w:tcW w:w="3510" w:type="dxa"/>
          </w:tcPr>
          <w:p w14:paraId="720F74AC" w14:textId="77777777" w:rsidR="00981E86" w:rsidRPr="005428D4" w:rsidRDefault="00981E86" w:rsidP="0041376F">
            <w:pPr>
              <w:jc w:val="both"/>
              <w:rPr>
                <w:b/>
                <w:bCs/>
              </w:rPr>
            </w:pPr>
            <w:r>
              <w:rPr>
                <w:b/>
                <w:bCs/>
              </w:rPr>
              <w:t xml:space="preserve">Expanding Scope of Services to Have Sustainable Model and to Retain </w:t>
            </w:r>
            <w:r w:rsidRPr="005428D4">
              <w:rPr>
                <w:b/>
                <w:bCs/>
              </w:rPr>
              <w:t>Talent</w:t>
            </w:r>
            <w:r>
              <w:rPr>
                <w:b/>
                <w:bCs/>
              </w:rPr>
              <w:t>, etc.</w:t>
            </w:r>
            <w:r w:rsidRPr="005428D4">
              <w:t xml:space="preserve"> - Limited scope of services restricts opportunities </w:t>
            </w:r>
            <w:r w:rsidRPr="005428D4">
              <w:lastRenderedPageBreak/>
              <w:t>for professionals with specialized skills (investment banking, IT, valuation).</w:t>
            </w:r>
          </w:p>
        </w:tc>
        <w:tc>
          <w:tcPr>
            <w:tcW w:w="5724" w:type="dxa"/>
          </w:tcPr>
          <w:p w14:paraId="55FBF061" w14:textId="77777777" w:rsidR="00981E86" w:rsidRPr="005428D4" w:rsidRDefault="00981E86" w:rsidP="0041376F">
            <w:pPr>
              <w:pStyle w:val="ListParagraph"/>
              <w:numPr>
                <w:ilvl w:val="0"/>
                <w:numId w:val="27"/>
              </w:numPr>
              <w:jc w:val="both"/>
              <w:rPr>
                <w:rFonts w:cstheme="minorHAnsi"/>
              </w:rPr>
            </w:pPr>
            <w:r w:rsidRPr="005428D4">
              <w:rPr>
                <w:rFonts w:cstheme="minorHAnsi"/>
              </w:rPr>
              <w:lastRenderedPageBreak/>
              <w:t xml:space="preserve">Expand the scope of permissible services for IPEs beyond supporting IPs and acting as juristic IPs. Regulatory amendments and IBBI guidelines should </w:t>
            </w:r>
            <w:r w:rsidRPr="005428D4">
              <w:rPr>
                <w:rFonts w:cstheme="minorHAnsi"/>
              </w:rPr>
              <w:lastRenderedPageBreak/>
              <w:t>ensure these expanded services comply with conflict-of-interest norms.</w:t>
            </w:r>
          </w:p>
          <w:p w14:paraId="3D41A9DB" w14:textId="77777777" w:rsidR="00981E86" w:rsidRDefault="00981E86" w:rsidP="0041376F">
            <w:pPr>
              <w:pStyle w:val="ListParagraph"/>
              <w:numPr>
                <w:ilvl w:val="0"/>
                <w:numId w:val="27"/>
              </w:numPr>
              <w:jc w:val="both"/>
              <w:rPr>
                <w:rFonts w:cstheme="minorHAnsi"/>
              </w:rPr>
            </w:pPr>
            <w:r w:rsidRPr="005428D4">
              <w:rPr>
                <w:rFonts w:cstheme="minorHAnsi"/>
              </w:rPr>
              <w:t>Broadening the service portfolio will create diversified work opportunities, making IPEs attractive for professionals with specialized skills such as investment banking, IT, and valuation. A robust talent pool within IPEs aligns with the objective of institutionalizing the insolvency profession and ensures scalability for handling complex cases.</w:t>
            </w:r>
          </w:p>
          <w:p w14:paraId="1B1E10A0" w14:textId="77777777" w:rsidR="00981E86" w:rsidRPr="005428D4" w:rsidRDefault="00981E86" w:rsidP="0041376F">
            <w:pPr>
              <w:pStyle w:val="ListParagraph"/>
              <w:numPr>
                <w:ilvl w:val="0"/>
                <w:numId w:val="27"/>
              </w:numPr>
              <w:jc w:val="both"/>
              <w:rPr>
                <w:rFonts w:cstheme="minorHAnsi"/>
              </w:rPr>
            </w:pPr>
            <w:r>
              <w:rPr>
                <w:rFonts w:cstheme="minorHAnsi"/>
              </w:rPr>
              <w:t>This point has been elaborated more in the next section.</w:t>
            </w:r>
          </w:p>
        </w:tc>
      </w:tr>
      <w:tr w:rsidR="00981E86" w:rsidRPr="00B331B9" w14:paraId="7D51C2AB" w14:textId="77777777" w:rsidTr="0041376F">
        <w:tc>
          <w:tcPr>
            <w:tcW w:w="715" w:type="dxa"/>
          </w:tcPr>
          <w:p w14:paraId="5777F8A1" w14:textId="77777777" w:rsidR="00981E86" w:rsidRPr="00BF65CF" w:rsidRDefault="00981E86" w:rsidP="0041376F">
            <w:pPr>
              <w:pStyle w:val="ListParagraph"/>
              <w:numPr>
                <w:ilvl w:val="0"/>
                <w:numId w:val="15"/>
              </w:numPr>
              <w:jc w:val="both"/>
              <w:rPr>
                <w:rFonts w:cstheme="minorHAnsi"/>
                <w:b/>
                <w:bCs/>
                <w:u w:val="single"/>
              </w:rPr>
            </w:pPr>
          </w:p>
        </w:tc>
        <w:tc>
          <w:tcPr>
            <w:tcW w:w="3510" w:type="dxa"/>
          </w:tcPr>
          <w:p w14:paraId="308A2E34" w14:textId="77777777" w:rsidR="00981E86" w:rsidRPr="005428D4" w:rsidRDefault="00981E86" w:rsidP="0041376F">
            <w:pPr>
              <w:jc w:val="both"/>
              <w:rPr>
                <w:b/>
                <w:bCs/>
              </w:rPr>
            </w:pPr>
            <w:r w:rsidRPr="005428D4">
              <w:rPr>
                <w:b/>
                <w:bCs/>
              </w:rPr>
              <w:t>Limited Awareness and Market Acceptance</w:t>
            </w:r>
            <w:r w:rsidRPr="005428D4">
              <w:t xml:space="preserve"> - Stakeholders (CoC, creditors, corporates) still prefer individual IPs over IPEs due to familiarity and trust issues.</w:t>
            </w:r>
          </w:p>
        </w:tc>
        <w:tc>
          <w:tcPr>
            <w:tcW w:w="5724" w:type="dxa"/>
          </w:tcPr>
          <w:p w14:paraId="401B4214" w14:textId="77777777" w:rsidR="00981E86" w:rsidRPr="005428D4" w:rsidRDefault="00981E86" w:rsidP="0041376F">
            <w:pPr>
              <w:pStyle w:val="ListParagraph"/>
              <w:numPr>
                <w:ilvl w:val="0"/>
                <w:numId w:val="27"/>
              </w:numPr>
              <w:jc w:val="both"/>
              <w:rPr>
                <w:rFonts w:cstheme="minorHAnsi"/>
              </w:rPr>
            </w:pPr>
            <w:r w:rsidRPr="005428D4">
              <w:rPr>
                <w:rFonts w:cstheme="minorHAnsi"/>
              </w:rPr>
              <w:t xml:space="preserve">Increase stakeholder confidence in IPE-led resolutions through targeted awareness initiatives. This includes publishing success stories, conducting workshops for CoCs and lenders, and introducing a performance rating system for IPEs. </w:t>
            </w:r>
          </w:p>
          <w:p w14:paraId="70C2D427" w14:textId="77777777" w:rsidR="00981E86" w:rsidRPr="005428D4" w:rsidRDefault="00981E86" w:rsidP="0041376F">
            <w:pPr>
              <w:pStyle w:val="ListParagraph"/>
              <w:numPr>
                <w:ilvl w:val="0"/>
                <w:numId w:val="27"/>
              </w:numPr>
              <w:jc w:val="both"/>
              <w:rPr>
                <w:rFonts w:cstheme="minorHAnsi"/>
              </w:rPr>
            </w:pPr>
            <w:r w:rsidRPr="005428D4">
              <w:t>Stakeholders often prefer individual IPs due to familiarity and perceived accountability. Demonstrating the advantages of institutional setups, such as scale, multi-disciplinary expertise, and better resources will reduce trust gaps and encourage adoption.</w:t>
            </w:r>
          </w:p>
        </w:tc>
      </w:tr>
    </w:tbl>
    <w:p w14:paraId="44A6068B" w14:textId="77777777" w:rsidR="00981E86" w:rsidRDefault="00981E86" w:rsidP="00981E86">
      <w:pPr>
        <w:jc w:val="both"/>
        <w:rPr>
          <w:rFonts w:cstheme="minorHAnsi"/>
          <w:b/>
          <w:bCs/>
        </w:rPr>
      </w:pPr>
    </w:p>
    <w:p w14:paraId="3055D60B" w14:textId="7749B52A" w:rsidR="00981E86" w:rsidRPr="00981E86" w:rsidRDefault="00981E86" w:rsidP="005F5507">
      <w:pPr>
        <w:pStyle w:val="ListParagraph"/>
        <w:numPr>
          <w:ilvl w:val="0"/>
          <w:numId w:val="61"/>
        </w:numPr>
        <w:jc w:val="both"/>
        <w:rPr>
          <w:rFonts w:cstheme="minorHAnsi"/>
          <w:b/>
          <w:bCs/>
        </w:rPr>
      </w:pPr>
      <w:r w:rsidRPr="00981E86">
        <w:rPr>
          <w:rFonts w:cstheme="minorHAnsi"/>
          <w:b/>
          <w:bCs/>
        </w:rPr>
        <w:t>Restricted scope of IPE services as currently the Regulations provides the objective of an IPE is to provide support services to an IP only and/or carrying on the activities of an insolvency professional (as Juristic IP) or both.</w:t>
      </w:r>
    </w:p>
    <w:p w14:paraId="68012BC6" w14:textId="77777777" w:rsidR="00981E86" w:rsidRPr="005E2A30" w:rsidRDefault="00981E86" w:rsidP="005E2A30">
      <w:pPr>
        <w:pStyle w:val="ListParagraph"/>
        <w:numPr>
          <w:ilvl w:val="0"/>
          <w:numId w:val="53"/>
        </w:numPr>
        <w:ind w:left="993" w:hanging="284"/>
        <w:jc w:val="both"/>
        <w:rPr>
          <w:rFonts w:cstheme="minorHAnsi"/>
        </w:rPr>
      </w:pPr>
      <w:r w:rsidRPr="005E2A30">
        <w:rPr>
          <w:rFonts w:cstheme="minorHAnsi"/>
        </w:rPr>
        <w:t xml:space="preserve">As per the existing regulations, the objective of IPEs is limited to provide support services to Insolvency Professionals or to carry on the activities of Insolvency Professionals or both. This limits the IPEs from providing advisory services to other stakeholders including CoC or Prospective Resolution Applicants. </w:t>
      </w:r>
    </w:p>
    <w:p w14:paraId="0FF94B96" w14:textId="77777777" w:rsidR="00981E86" w:rsidRPr="005E2A30" w:rsidRDefault="00981E86" w:rsidP="005E2A30">
      <w:pPr>
        <w:pStyle w:val="ListParagraph"/>
        <w:numPr>
          <w:ilvl w:val="0"/>
          <w:numId w:val="53"/>
        </w:numPr>
        <w:ind w:left="993" w:hanging="284"/>
        <w:jc w:val="both"/>
        <w:rPr>
          <w:rFonts w:cstheme="minorHAnsi"/>
        </w:rPr>
      </w:pPr>
      <w:r w:rsidRPr="005E2A30">
        <w:rPr>
          <w:rFonts w:cstheme="minorHAnsi"/>
        </w:rPr>
        <w:t xml:space="preserve">This results in limited market opportunity for IPEs and in turn the professionals associated with it. In the absence of adequate opportunity, it becomes difficult to retain talent especially having specialized skills such as investment banking, IT etc. </w:t>
      </w:r>
    </w:p>
    <w:p w14:paraId="69D5683F" w14:textId="185A3423" w:rsidR="00981E86" w:rsidRPr="00CC6EF0" w:rsidRDefault="00981E86" w:rsidP="00981E86">
      <w:pPr>
        <w:ind w:left="885"/>
        <w:jc w:val="both"/>
        <w:rPr>
          <w:rFonts w:cstheme="minorHAnsi"/>
        </w:rPr>
      </w:pPr>
      <w:r w:rsidRPr="00CC6EF0">
        <w:rPr>
          <w:rFonts w:cstheme="minorHAnsi"/>
        </w:rPr>
        <w:t xml:space="preserve">In order to increase the </w:t>
      </w:r>
      <w:r>
        <w:rPr>
          <w:rFonts w:cstheme="minorHAnsi"/>
        </w:rPr>
        <w:t xml:space="preserve">adoption of IPE, the scope of permissible services </w:t>
      </w:r>
      <w:r w:rsidRPr="00CC6EF0">
        <w:rPr>
          <w:rFonts w:cstheme="minorHAnsi"/>
        </w:rPr>
        <w:t xml:space="preserve">may </w:t>
      </w:r>
      <w:r>
        <w:rPr>
          <w:rFonts w:cstheme="minorHAnsi"/>
        </w:rPr>
        <w:t xml:space="preserve">need                                                              to </w:t>
      </w:r>
      <w:r w:rsidRPr="00CC6EF0">
        <w:rPr>
          <w:rFonts w:cstheme="minorHAnsi"/>
        </w:rPr>
        <w:t xml:space="preserve">be </w:t>
      </w:r>
      <w:r>
        <w:rPr>
          <w:rFonts w:cstheme="minorHAnsi"/>
        </w:rPr>
        <w:t>expanded</w:t>
      </w:r>
      <w:r w:rsidRPr="00CC6EF0">
        <w:rPr>
          <w:rFonts w:cstheme="minorHAnsi"/>
        </w:rPr>
        <w:t>.</w:t>
      </w:r>
      <w:r>
        <w:rPr>
          <w:rFonts w:cstheme="minorHAnsi"/>
        </w:rPr>
        <w:t xml:space="preserve"> Some suggested additions are - </w:t>
      </w:r>
    </w:p>
    <w:p w14:paraId="3B0D1FEA" w14:textId="77777777" w:rsidR="00981E86" w:rsidRPr="005428D4" w:rsidRDefault="00981E86" w:rsidP="00981E86">
      <w:pPr>
        <w:pStyle w:val="ListParagraph"/>
        <w:numPr>
          <w:ilvl w:val="0"/>
          <w:numId w:val="26"/>
        </w:numPr>
        <w:tabs>
          <w:tab w:val="clear" w:pos="340"/>
          <w:tab w:val="num" w:pos="1225"/>
        </w:tabs>
        <w:spacing w:line="276" w:lineRule="auto"/>
        <w:ind w:left="1225"/>
        <w:jc w:val="both"/>
        <w:rPr>
          <w:rFonts w:cstheme="minorHAnsi"/>
        </w:rPr>
      </w:pPr>
      <w:r w:rsidRPr="005428D4">
        <w:rPr>
          <w:rFonts w:cstheme="minorHAnsi"/>
        </w:rPr>
        <w:t>Assist stressed companies in evaluating restructuring options before formal insolvency proceedings.</w:t>
      </w:r>
    </w:p>
    <w:p w14:paraId="018E247C" w14:textId="77777777" w:rsidR="00981E86" w:rsidRPr="0055066D" w:rsidRDefault="00981E86" w:rsidP="00981E86">
      <w:pPr>
        <w:pStyle w:val="ListParagraph"/>
        <w:numPr>
          <w:ilvl w:val="0"/>
          <w:numId w:val="26"/>
        </w:numPr>
        <w:tabs>
          <w:tab w:val="clear" w:pos="340"/>
          <w:tab w:val="num" w:pos="1225"/>
        </w:tabs>
        <w:spacing w:line="276" w:lineRule="auto"/>
        <w:ind w:left="1225"/>
        <w:jc w:val="both"/>
        <w:rPr>
          <w:rFonts w:cstheme="minorHAnsi"/>
        </w:rPr>
      </w:pPr>
      <w:r w:rsidRPr="0055066D">
        <w:rPr>
          <w:rFonts w:cstheme="minorHAnsi"/>
        </w:rPr>
        <w:t>Providing services to COC and members of COC - Resolution plan evaluator, COC /Lender financial and legal advisor, Feasibility and viability of resolution plan, transaction audit, Investment banking etc.    In many jurisdictions, insolvency firms provide multi-disciplinary services under regulated frameworks.</w:t>
      </w:r>
    </w:p>
    <w:p w14:paraId="451A5FAB" w14:textId="77777777" w:rsidR="00981E86" w:rsidRDefault="00981E86" w:rsidP="00981E86">
      <w:pPr>
        <w:pStyle w:val="ListParagraph"/>
        <w:numPr>
          <w:ilvl w:val="0"/>
          <w:numId w:val="26"/>
        </w:numPr>
        <w:tabs>
          <w:tab w:val="clear" w:pos="340"/>
          <w:tab w:val="num" w:pos="1225"/>
        </w:tabs>
        <w:spacing w:line="276" w:lineRule="auto"/>
        <w:ind w:left="1225"/>
        <w:jc w:val="both"/>
        <w:rPr>
          <w:rFonts w:cstheme="minorHAnsi"/>
        </w:rPr>
      </w:pPr>
      <w:r>
        <w:rPr>
          <w:rFonts w:cstheme="minorHAnsi"/>
        </w:rPr>
        <w:t>M&amp;A and transaction services for stressed / distressed assets</w:t>
      </w:r>
    </w:p>
    <w:p w14:paraId="1FD50CEC" w14:textId="77777777" w:rsidR="00981E86" w:rsidRPr="005428D4" w:rsidRDefault="00981E86" w:rsidP="00981E86">
      <w:pPr>
        <w:pStyle w:val="ListParagraph"/>
        <w:numPr>
          <w:ilvl w:val="0"/>
          <w:numId w:val="26"/>
        </w:numPr>
        <w:tabs>
          <w:tab w:val="clear" w:pos="340"/>
          <w:tab w:val="num" w:pos="1225"/>
        </w:tabs>
        <w:spacing w:line="276" w:lineRule="auto"/>
        <w:ind w:left="1225"/>
        <w:jc w:val="both"/>
        <w:rPr>
          <w:rFonts w:cstheme="minorHAnsi"/>
        </w:rPr>
      </w:pPr>
      <w:r>
        <w:rPr>
          <w:rFonts w:cstheme="minorHAnsi"/>
        </w:rPr>
        <w:lastRenderedPageBreak/>
        <w:t xml:space="preserve">Operational restructuring and business turnaround services </w:t>
      </w:r>
    </w:p>
    <w:p w14:paraId="4B5D8AF5" w14:textId="77777777" w:rsidR="00981E86" w:rsidRPr="005428D4" w:rsidRDefault="00981E86" w:rsidP="00981E86">
      <w:pPr>
        <w:pStyle w:val="ListParagraph"/>
        <w:numPr>
          <w:ilvl w:val="0"/>
          <w:numId w:val="26"/>
        </w:numPr>
        <w:tabs>
          <w:tab w:val="clear" w:pos="340"/>
          <w:tab w:val="num" w:pos="1225"/>
        </w:tabs>
        <w:spacing w:line="276" w:lineRule="auto"/>
        <w:ind w:left="1225"/>
        <w:jc w:val="both"/>
        <w:rPr>
          <w:rFonts w:cstheme="minorHAnsi"/>
        </w:rPr>
      </w:pPr>
      <w:r w:rsidRPr="005428D4">
        <w:t xml:space="preserve">Enable IPEs to provide </w:t>
      </w:r>
      <w:r>
        <w:t xml:space="preserve">deal advisory </w:t>
      </w:r>
      <w:r w:rsidRPr="005428D4">
        <w:t xml:space="preserve">solutions </w:t>
      </w:r>
      <w:r>
        <w:t xml:space="preserve">such as hosting </w:t>
      </w:r>
      <w:r w:rsidRPr="005428D4">
        <w:t xml:space="preserve">data rooms, </w:t>
      </w:r>
      <w:r>
        <w:t xml:space="preserve">virtual meetings platform, </w:t>
      </w:r>
      <w:r w:rsidRPr="005428D4">
        <w:t>compliance dashboards, and digital voting platforms.</w:t>
      </w:r>
    </w:p>
    <w:p w14:paraId="5EA8AEF2" w14:textId="77777777" w:rsidR="00981E86" w:rsidRPr="005428D4" w:rsidRDefault="00981E86" w:rsidP="00981E86">
      <w:pPr>
        <w:pStyle w:val="ListParagraph"/>
        <w:numPr>
          <w:ilvl w:val="0"/>
          <w:numId w:val="26"/>
        </w:numPr>
        <w:tabs>
          <w:tab w:val="clear" w:pos="340"/>
          <w:tab w:val="num" w:pos="1225"/>
        </w:tabs>
        <w:spacing w:line="276" w:lineRule="auto"/>
        <w:ind w:left="1225"/>
        <w:jc w:val="both"/>
        <w:rPr>
          <w:rFonts w:cstheme="minorHAnsi"/>
        </w:rPr>
      </w:pPr>
      <w:r w:rsidRPr="005428D4">
        <w:rPr>
          <w:rFonts w:cstheme="minorHAnsi"/>
        </w:rPr>
        <w:t>Provide sector-specific expertise (e.g., infrastructure, mining, real estate) for complex cases.</w:t>
      </w:r>
    </w:p>
    <w:p w14:paraId="084C60DF" w14:textId="77777777" w:rsidR="00981E86" w:rsidRPr="005428D4" w:rsidRDefault="00981E86" w:rsidP="00981E86">
      <w:pPr>
        <w:pStyle w:val="ListParagraph"/>
        <w:numPr>
          <w:ilvl w:val="0"/>
          <w:numId w:val="26"/>
        </w:numPr>
        <w:tabs>
          <w:tab w:val="clear" w:pos="340"/>
          <w:tab w:val="num" w:pos="1225"/>
        </w:tabs>
        <w:spacing w:line="276" w:lineRule="auto"/>
        <w:ind w:left="1225"/>
        <w:jc w:val="both"/>
        <w:rPr>
          <w:rFonts w:cstheme="minorHAnsi"/>
        </w:rPr>
      </w:pPr>
      <w:r w:rsidRPr="005428D4">
        <w:rPr>
          <w:rFonts w:cstheme="minorHAnsi"/>
        </w:rPr>
        <w:t>Buy side bid advisory and M&amp;A support to Prospective Resolution Applicants (PRA)</w:t>
      </w:r>
    </w:p>
    <w:p w14:paraId="752CEE26" w14:textId="77777777" w:rsidR="00981E86" w:rsidRPr="005428D4" w:rsidRDefault="00981E86" w:rsidP="00981E86">
      <w:pPr>
        <w:pStyle w:val="ListParagraph"/>
        <w:numPr>
          <w:ilvl w:val="0"/>
          <w:numId w:val="26"/>
        </w:numPr>
        <w:tabs>
          <w:tab w:val="clear" w:pos="340"/>
          <w:tab w:val="num" w:pos="1225"/>
        </w:tabs>
        <w:spacing w:line="276" w:lineRule="auto"/>
        <w:ind w:left="1225"/>
        <w:jc w:val="both"/>
        <w:rPr>
          <w:rFonts w:cstheme="minorHAnsi"/>
        </w:rPr>
      </w:pPr>
      <w:r w:rsidRPr="005428D4">
        <w:rPr>
          <w:rFonts w:cstheme="minorHAnsi"/>
        </w:rPr>
        <w:t xml:space="preserve">Resolution advisor / Manager for financial restructuring outside CIRP  </w:t>
      </w:r>
    </w:p>
    <w:p w14:paraId="57B92F46" w14:textId="77777777" w:rsidR="00981E86" w:rsidRPr="006E202E" w:rsidRDefault="00981E86" w:rsidP="00981E86">
      <w:pPr>
        <w:pStyle w:val="ListParagraph"/>
        <w:numPr>
          <w:ilvl w:val="0"/>
          <w:numId w:val="26"/>
        </w:numPr>
        <w:tabs>
          <w:tab w:val="clear" w:pos="340"/>
          <w:tab w:val="num" w:pos="1225"/>
        </w:tabs>
        <w:spacing w:line="276" w:lineRule="auto"/>
        <w:ind w:left="1225"/>
        <w:jc w:val="both"/>
        <w:rPr>
          <w:rFonts w:cstheme="minorHAnsi"/>
        </w:rPr>
      </w:pPr>
      <w:r>
        <w:rPr>
          <w:rFonts w:cstheme="minorHAnsi"/>
        </w:rPr>
        <w:t xml:space="preserve">Bankruptcy Trustee </w:t>
      </w:r>
    </w:p>
    <w:p w14:paraId="765779DA" w14:textId="77777777" w:rsidR="00981E86" w:rsidRPr="006E202E" w:rsidRDefault="00981E86" w:rsidP="00981E86">
      <w:pPr>
        <w:pStyle w:val="ListParagraph"/>
        <w:numPr>
          <w:ilvl w:val="0"/>
          <w:numId w:val="26"/>
        </w:numPr>
        <w:tabs>
          <w:tab w:val="clear" w:pos="340"/>
          <w:tab w:val="num" w:pos="1225"/>
        </w:tabs>
        <w:spacing w:line="276" w:lineRule="auto"/>
        <w:ind w:left="1225"/>
        <w:jc w:val="both"/>
        <w:rPr>
          <w:rFonts w:cstheme="minorHAnsi"/>
        </w:rPr>
      </w:pPr>
      <w:r>
        <w:rPr>
          <w:rFonts w:cstheme="minorHAnsi"/>
        </w:rPr>
        <w:t xml:space="preserve">Authorised officer / Manager role under SARFESI </w:t>
      </w:r>
    </w:p>
    <w:p w14:paraId="14EA8FD7" w14:textId="77777777" w:rsidR="00981E86" w:rsidRDefault="00981E86" w:rsidP="00981E86">
      <w:pPr>
        <w:pStyle w:val="ListParagraph"/>
        <w:numPr>
          <w:ilvl w:val="0"/>
          <w:numId w:val="26"/>
        </w:numPr>
        <w:tabs>
          <w:tab w:val="clear" w:pos="340"/>
          <w:tab w:val="num" w:pos="1225"/>
        </w:tabs>
        <w:spacing w:line="276" w:lineRule="auto"/>
        <w:ind w:left="1225"/>
        <w:jc w:val="both"/>
        <w:rPr>
          <w:rFonts w:cstheme="minorHAnsi"/>
        </w:rPr>
      </w:pPr>
      <w:r>
        <w:rPr>
          <w:rFonts w:cstheme="minorHAnsi"/>
        </w:rPr>
        <w:t>Receiver under order of court</w:t>
      </w:r>
    </w:p>
    <w:p w14:paraId="059CF776" w14:textId="77777777" w:rsidR="00981E86" w:rsidRPr="00F26C2C" w:rsidRDefault="00981E86" w:rsidP="00981E86">
      <w:pPr>
        <w:ind w:firstLine="720"/>
        <w:jc w:val="both"/>
        <w:rPr>
          <w:rFonts w:cstheme="minorHAnsi"/>
          <w:b/>
          <w:bCs/>
          <w:u w:val="single"/>
        </w:rPr>
      </w:pPr>
      <w:r w:rsidRPr="00F26C2C">
        <w:rPr>
          <w:rFonts w:cstheme="minorHAnsi"/>
          <w:b/>
          <w:bCs/>
          <w:u w:val="single"/>
        </w:rPr>
        <w:t>Way forward</w:t>
      </w:r>
    </w:p>
    <w:p w14:paraId="71CE20DD" w14:textId="77777777" w:rsidR="00981E86" w:rsidRDefault="00981E86" w:rsidP="005E2A30">
      <w:pPr>
        <w:pStyle w:val="ListParagraph"/>
        <w:numPr>
          <w:ilvl w:val="0"/>
          <w:numId w:val="54"/>
        </w:numPr>
        <w:spacing w:line="276" w:lineRule="auto"/>
        <w:ind w:left="993" w:hanging="284"/>
        <w:jc w:val="both"/>
        <w:rPr>
          <w:rFonts w:cstheme="minorHAnsi"/>
        </w:rPr>
      </w:pPr>
      <w:r w:rsidRPr="00F26C2C">
        <w:rPr>
          <w:rFonts w:cstheme="minorHAnsi"/>
        </w:rPr>
        <w:t xml:space="preserve">To support growth, IBBI </w:t>
      </w:r>
      <w:r>
        <w:rPr>
          <w:rFonts w:cstheme="minorHAnsi"/>
        </w:rPr>
        <w:t xml:space="preserve">may consider introducing </w:t>
      </w:r>
      <w:r w:rsidRPr="00F26C2C">
        <w:rPr>
          <w:rFonts w:cstheme="minorHAnsi"/>
        </w:rPr>
        <w:t xml:space="preserve">an accreditation mechanism allowing IPEs </w:t>
      </w:r>
      <w:r>
        <w:rPr>
          <w:rFonts w:cstheme="minorHAnsi"/>
        </w:rPr>
        <w:t xml:space="preserve">&amp; affiliated entities </w:t>
      </w:r>
      <w:r w:rsidRPr="00F26C2C">
        <w:rPr>
          <w:rFonts w:cstheme="minorHAnsi"/>
        </w:rPr>
        <w:t>to register for specialized service verticals such as turnaround consulting, accounting advisory, legal assistance, or sector-specific expertise which would enable IPEs to generate new revenue streams</w:t>
      </w:r>
      <w:r>
        <w:rPr>
          <w:rFonts w:cstheme="minorHAnsi"/>
        </w:rPr>
        <w:t>.</w:t>
      </w:r>
    </w:p>
    <w:p w14:paraId="0BCFA491" w14:textId="77777777" w:rsidR="00981E86" w:rsidRDefault="00981E86" w:rsidP="005E2A30">
      <w:pPr>
        <w:pStyle w:val="ListParagraph"/>
        <w:ind w:left="993" w:hanging="284"/>
        <w:jc w:val="both"/>
        <w:rPr>
          <w:rFonts w:cstheme="minorHAnsi"/>
        </w:rPr>
      </w:pPr>
    </w:p>
    <w:p w14:paraId="37E8FFE8" w14:textId="77777777" w:rsidR="00981E86" w:rsidRDefault="00981E86" w:rsidP="005E2A30">
      <w:pPr>
        <w:pStyle w:val="ListParagraph"/>
        <w:numPr>
          <w:ilvl w:val="0"/>
          <w:numId w:val="54"/>
        </w:numPr>
        <w:spacing w:line="276" w:lineRule="auto"/>
        <w:ind w:left="993" w:hanging="284"/>
        <w:jc w:val="both"/>
        <w:rPr>
          <w:rFonts w:cstheme="minorHAnsi"/>
        </w:rPr>
      </w:pPr>
      <w:r w:rsidRPr="00B96A62">
        <w:rPr>
          <w:rFonts w:cstheme="minorHAnsi"/>
        </w:rPr>
        <w:t>Allow IPEs to act as process advisors or transaction facilitators for PRAs in assignments distinct from those handled by their IPs, with proper conflict management and disclosure</w:t>
      </w:r>
      <w:r>
        <w:rPr>
          <w:rFonts w:cstheme="minorHAnsi"/>
        </w:rPr>
        <w:t>.</w:t>
      </w:r>
    </w:p>
    <w:p w14:paraId="00AE27B9" w14:textId="77777777" w:rsidR="00981E86" w:rsidRDefault="00981E86" w:rsidP="00981E86">
      <w:pPr>
        <w:jc w:val="both"/>
        <w:rPr>
          <w:rFonts w:cstheme="minorHAnsi"/>
          <w:b/>
          <w:bCs/>
          <w:u w:val="single"/>
        </w:rPr>
      </w:pPr>
    </w:p>
    <w:p w14:paraId="34369FC7" w14:textId="77777777" w:rsidR="00981E86" w:rsidRPr="00981E86" w:rsidRDefault="00981E86" w:rsidP="005F5507">
      <w:pPr>
        <w:pStyle w:val="ListParagraph"/>
        <w:numPr>
          <w:ilvl w:val="0"/>
          <w:numId w:val="61"/>
        </w:numPr>
        <w:jc w:val="both"/>
        <w:rPr>
          <w:rFonts w:cstheme="minorHAnsi"/>
        </w:rPr>
      </w:pPr>
      <w:r w:rsidRPr="00981E86">
        <w:rPr>
          <w:rFonts w:cstheme="minorHAnsi"/>
          <w:b/>
          <w:bCs/>
        </w:rPr>
        <w:t>The Accountability and Responsibilities of the IPEs should be fixed considering the fact that IPE support service provider fees is comparatively high.</w:t>
      </w:r>
    </w:p>
    <w:p w14:paraId="2E9C5848" w14:textId="77777777" w:rsidR="00981E86" w:rsidRPr="00276205" w:rsidRDefault="00981E86" w:rsidP="00276205">
      <w:pPr>
        <w:pStyle w:val="ListParagraph"/>
        <w:numPr>
          <w:ilvl w:val="0"/>
          <w:numId w:val="55"/>
        </w:numPr>
        <w:ind w:left="993" w:hanging="284"/>
        <w:jc w:val="both"/>
        <w:rPr>
          <w:rFonts w:cstheme="minorHAnsi"/>
        </w:rPr>
      </w:pPr>
      <w:r w:rsidRPr="00276205">
        <w:rPr>
          <w:rFonts w:cstheme="minorHAnsi"/>
        </w:rPr>
        <w:t>Division of accountability and responsibilities between IPs &amp; IPEs wherein IPE provides support services to IP has not been defined under the code. This leads to ambiguity and confusion regarding the roles and responsibilities of IPE.</w:t>
      </w:r>
    </w:p>
    <w:p w14:paraId="3EF38FF8" w14:textId="77777777" w:rsidR="00981E86" w:rsidRPr="00B331B9" w:rsidRDefault="00981E86" w:rsidP="00981E86">
      <w:pPr>
        <w:pStyle w:val="ListParagraph"/>
        <w:jc w:val="both"/>
        <w:rPr>
          <w:rFonts w:cstheme="minorHAnsi"/>
        </w:rPr>
      </w:pPr>
    </w:p>
    <w:p w14:paraId="20E6FC11" w14:textId="77777777" w:rsidR="00981E86" w:rsidRPr="00B331B9" w:rsidRDefault="00981E86" w:rsidP="00276205">
      <w:pPr>
        <w:pStyle w:val="ListParagraph"/>
        <w:numPr>
          <w:ilvl w:val="0"/>
          <w:numId w:val="18"/>
        </w:numPr>
        <w:ind w:left="993" w:hanging="284"/>
        <w:jc w:val="both"/>
        <w:rPr>
          <w:rFonts w:cstheme="minorHAnsi"/>
          <w:b/>
          <w:bCs/>
          <w:u w:val="single"/>
        </w:rPr>
      </w:pPr>
      <w:r w:rsidRPr="00B331B9">
        <w:rPr>
          <w:rFonts w:cstheme="minorHAnsi"/>
          <w:b/>
          <w:bCs/>
          <w:u w:val="single"/>
        </w:rPr>
        <w:t>Key Challenges/Issues</w:t>
      </w:r>
    </w:p>
    <w:tbl>
      <w:tblPr>
        <w:tblStyle w:val="TableGrid"/>
        <w:tblW w:w="9985" w:type="dxa"/>
        <w:tblLook w:val="04A0" w:firstRow="1" w:lastRow="0" w:firstColumn="1" w:lastColumn="0" w:noHBand="0" w:noVBand="1"/>
      </w:tblPr>
      <w:tblGrid>
        <w:gridCol w:w="706"/>
        <w:gridCol w:w="3519"/>
        <w:gridCol w:w="5760"/>
      </w:tblGrid>
      <w:tr w:rsidR="00981E86" w:rsidRPr="00B331B9" w14:paraId="2C01897F" w14:textId="77777777" w:rsidTr="0041376F">
        <w:trPr>
          <w:trHeight w:val="229"/>
        </w:trPr>
        <w:tc>
          <w:tcPr>
            <w:tcW w:w="706" w:type="dxa"/>
          </w:tcPr>
          <w:p w14:paraId="5860E799" w14:textId="77777777" w:rsidR="00981E86" w:rsidRPr="00B331B9" w:rsidRDefault="00981E86" w:rsidP="0041376F">
            <w:pPr>
              <w:spacing w:before="120" w:after="120" w:line="320" w:lineRule="exact"/>
              <w:jc w:val="both"/>
              <w:rPr>
                <w:rFonts w:cstheme="minorHAnsi"/>
                <w:b/>
                <w:bCs/>
              </w:rPr>
            </w:pPr>
            <w:r w:rsidRPr="00B331B9">
              <w:rPr>
                <w:rFonts w:cstheme="minorHAnsi"/>
                <w:b/>
                <w:bCs/>
              </w:rPr>
              <w:t>S.No</w:t>
            </w:r>
          </w:p>
        </w:tc>
        <w:tc>
          <w:tcPr>
            <w:tcW w:w="3519" w:type="dxa"/>
          </w:tcPr>
          <w:p w14:paraId="18A1C71B" w14:textId="77777777" w:rsidR="00981E86" w:rsidRPr="00B331B9" w:rsidRDefault="00981E86" w:rsidP="0041376F">
            <w:pPr>
              <w:spacing w:before="120" w:after="120" w:line="320" w:lineRule="exact"/>
              <w:jc w:val="both"/>
              <w:rPr>
                <w:rFonts w:cstheme="minorHAnsi"/>
                <w:b/>
                <w:bCs/>
              </w:rPr>
            </w:pPr>
            <w:r w:rsidRPr="00B331B9">
              <w:rPr>
                <w:rFonts w:cstheme="minorHAnsi"/>
                <w:b/>
                <w:bCs/>
              </w:rPr>
              <w:t>Key Challenges</w:t>
            </w:r>
          </w:p>
        </w:tc>
        <w:tc>
          <w:tcPr>
            <w:tcW w:w="5760" w:type="dxa"/>
          </w:tcPr>
          <w:p w14:paraId="11600737" w14:textId="77777777" w:rsidR="00981E86" w:rsidRPr="00B331B9" w:rsidRDefault="00981E86" w:rsidP="0041376F">
            <w:pPr>
              <w:spacing w:before="120" w:after="120" w:line="320" w:lineRule="exact"/>
              <w:jc w:val="both"/>
              <w:rPr>
                <w:rFonts w:cstheme="minorHAnsi"/>
                <w:b/>
                <w:bCs/>
              </w:rPr>
            </w:pPr>
            <w:r w:rsidRPr="00B331B9">
              <w:rPr>
                <w:rFonts w:cstheme="minorHAnsi"/>
                <w:b/>
                <w:bCs/>
              </w:rPr>
              <w:t>Way forward &amp; rationale</w:t>
            </w:r>
          </w:p>
        </w:tc>
      </w:tr>
      <w:tr w:rsidR="00981E86" w:rsidRPr="00B331B9" w14:paraId="69105F6C" w14:textId="77777777" w:rsidTr="0041376F">
        <w:trPr>
          <w:trHeight w:val="229"/>
        </w:trPr>
        <w:tc>
          <w:tcPr>
            <w:tcW w:w="706" w:type="dxa"/>
          </w:tcPr>
          <w:p w14:paraId="52048FAC" w14:textId="77777777" w:rsidR="00981E86" w:rsidRPr="00B331B9" w:rsidRDefault="00981E86" w:rsidP="0041376F">
            <w:pPr>
              <w:spacing w:before="120" w:after="120" w:line="320" w:lineRule="exact"/>
              <w:jc w:val="both"/>
              <w:rPr>
                <w:rFonts w:cstheme="minorHAnsi"/>
              </w:rPr>
            </w:pPr>
            <w:r w:rsidRPr="00B331B9">
              <w:rPr>
                <w:rFonts w:cstheme="minorHAnsi"/>
              </w:rPr>
              <w:t>1.</w:t>
            </w:r>
          </w:p>
        </w:tc>
        <w:tc>
          <w:tcPr>
            <w:tcW w:w="3519" w:type="dxa"/>
          </w:tcPr>
          <w:p w14:paraId="14089EB7" w14:textId="77777777" w:rsidR="00981E86" w:rsidRPr="005428D4" w:rsidRDefault="00981E86" w:rsidP="0041376F">
            <w:pPr>
              <w:spacing w:before="120" w:after="120" w:line="320" w:lineRule="exact"/>
              <w:jc w:val="both"/>
              <w:rPr>
                <w:rFonts w:cstheme="minorHAnsi"/>
              </w:rPr>
            </w:pPr>
            <w:r w:rsidRPr="005428D4">
              <w:rPr>
                <w:rFonts w:cstheme="minorHAnsi"/>
                <w:b/>
                <w:bCs/>
              </w:rPr>
              <w:t xml:space="preserve">Ambiguity with respect to roles &amp; responsibilities: </w:t>
            </w:r>
            <w:r w:rsidRPr="005428D4">
              <w:rPr>
                <w:rFonts w:cstheme="minorHAnsi"/>
              </w:rPr>
              <w:t>Overlap between IPE and IP roles creates confusion on who is accountable for specific tasks.</w:t>
            </w:r>
          </w:p>
        </w:tc>
        <w:tc>
          <w:tcPr>
            <w:tcW w:w="5760" w:type="dxa"/>
          </w:tcPr>
          <w:p w14:paraId="29BD952B" w14:textId="77777777" w:rsidR="00981E86" w:rsidRPr="00D45406" w:rsidRDefault="00981E86" w:rsidP="0041376F">
            <w:pPr>
              <w:spacing w:before="120" w:after="120" w:line="320" w:lineRule="exact"/>
              <w:jc w:val="both"/>
              <w:rPr>
                <w:rFonts w:cstheme="minorHAnsi"/>
              </w:rPr>
            </w:pPr>
            <w:r w:rsidRPr="00D45406">
              <w:rPr>
                <w:rFonts w:cstheme="minorHAnsi"/>
              </w:rPr>
              <w:t xml:space="preserve">The current regulations define the roles </w:t>
            </w:r>
            <w:r>
              <w:rPr>
                <w:rFonts w:cstheme="minorHAnsi"/>
              </w:rPr>
              <w:t>and</w:t>
            </w:r>
            <w:r w:rsidRPr="00D45406">
              <w:rPr>
                <w:rFonts w:cstheme="minorHAnsi"/>
              </w:rPr>
              <w:t xml:space="preserve"> duties of IRP/RP. The roles and responsibilities for IPE may be introduced to enhance transparency in the work in parallel to their efforts removing unnecessary ambiguity.</w:t>
            </w:r>
          </w:p>
        </w:tc>
      </w:tr>
      <w:tr w:rsidR="00981E86" w:rsidRPr="00B331B9" w14:paraId="5ACDF2D4" w14:textId="77777777" w:rsidTr="0041376F">
        <w:trPr>
          <w:trHeight w:val="229"/>
        </w:trPr>
        <w:tc>
          <w:tcPr>
            <w:tcW w:w="706" w:type="dxa"/>
          </w:tcPr>
          <w:p w14:paraId="3429930B" w14:textId="77777777" w:rsidR="00981E86" w:rsidRPr="00B331B9" w:rsidRDefault="00981E86" w:rsidP="0041376F">
            <w:pPr>
              <w:spacing w:before="120" w:after="120" w:line="320" w:lineRule="exact"/>
              <w:jc w:val="both"/>
              <w:rPr>
                <w:rFonts w:cstheme="minorHAnsi"/>
              </w:rPr>
            </w:pPr>
            <w:r>
              <w:rPr>
                <w:rFonts w:cstheme="minorHAnsi"/>
              </w:rPr>
              <w:t>2</w:t>
            </w:r>
            <w:r w:rsidRPr="00B331B9">
              <w:rPr>
                <w:rFonts w:cstheme="minorHAnsi"/>
              </w:rPr>
              <w:t>.</w:t>
            </w:r>
          </w:p>
        </w:tc>
        <w:tc>
          <w:tcPr>
            <w:tcW w:w="3519" w:type="dxa"/>
          </w:tcPr>
          <w:p w14:paraId="39FADA8C" w14:textId="77777777" w:rsidR="00981E86" w:rsidRPr="005428D4" w:rsidRDefault="00981E86" w:rsidP="0041376F">
            <w:pPr>
              <w:spacing w:before="120" w:after="120" w:line="320" w:lineRule="exact"/>
              <w:jc w:val="both"/>
              <w:rPr>
                <w:rFonts w:cstheme="minorHAnsi"/>
              </w:rPr>
            </w:pPr>
            <w:r w:rsidRPr="005428D4">
              <w:rPr>
                <w:rFonts w:cstheme="minorHAnsi"/>
                <w:b/>
                <w:bCs/>
              </w:rPr>
              <w:t xml:space="preserve">Stakeholder Distrust: </w:t>
            </w:r>
            <w:r w:rsidRPr="005428D4">
              <w:rPr>
                <w:rFonts w:cstheme="minorHAnsi"/>
              </w:rPr>
              <w:t xml:space="preserve">Creditors and CoC members may view excessive charges as unfair, </w:t>
            </w:r>
            <w:r w:rsidRPr="005428D4">
              <w:rPr>
                <w:rFonts w:cstheme="minorHAnsi"/>
              </w:rPr>
              <w:lastRenderedPageBreak/>
              <w:t>undermining confidence in the insolvency resolution process.</w:t>
            </w:r>
          </w:p>
        </w:tc>
        <w:tc>
          <w:tcPr>
            <w:tcW w:w="5760" w:type="dxa"/>
          </w:tcPr>
          <w:p w14:paraId="679F069F" w14:textId="77777777" w:rsidR="00981E86" w:rsidRPr="00D45406" w:rsidRDefault="00981E86" w:rsidP="0041376F">
            <w:pPr>
              <w:spacing w:before="120" w:after="120" w:line="320" w:lineRule="exact"/>
              <w:jc w:val="both"/>
              <w:rPr>
                <w:rFonts w:cstheme="minorHAnsi"/>
              </w:rPr>
            </w:pPr>
            <w:r w:rsidRPr="00D45406">
              <w:rPr>
                <w:rFonts w:cstheme="minorHAnsi"/>
              </w:rPr>
              <w:lastRenderedPageBreak/>
              <w:t xml:space="preserve">With specific roles </w:t>
            </w:r>
            <w:r>
              <w:rPr>
                <w:rFonts w:cstheme="minorHAnsi"/>
              </w:rPr>
              <w:t>and</w:t>
            </w:r>
            <w:r w:rsidRPr="00D45406">
              <w:rPr>
                <w:rFonts w:cstheme="minorHAnsi"/>
              </w:rPr>
              <w:t xml:space="preserve"> responsibilities, IPEs shall be able to justify the fee charged by them along with specific deliverables.</w:t>
            </w:r>
          </w:p>
        </w:tc>
      </w:tr>
      <w:tr w:rsidR="00981E86" w:rsidRPr="00B331B9" w14:paraId="030A1DF4" w14:textId="77777777" w:rsidTr="0041376F">
        <w:trPr>
          <w:trHeight w:val="229"/>
        </w:trPr>
        <w:tc>
          <w:tcPr>
            <w:tcW w:w="706" w:type="dxa"/>
          </w:tcPr>
          <w:p w14:paraId="29E98C87" w14:textId="77777777" w:rsidR="00981E86" w:rsidRDefault="00981E86" w:rsidP="0041376F">
            <w:pPr>
              <w:spacing w:before="120" w:after="120" w:line="320" w:lineRule="exact"/>
              <w:jc w:val="both"/>
              <w:rPr>
                <w:rFonts w:cstheme="minorHAnsi"/>
              </w:rPr>
            </w:pPr>
            <w:r>
              <w:rPr>
                <w:rFonts w:cstheme="minorHAnsi"/>
              </w:rPr>
              <w:t xml:space="preserve">3. </w:t>
            </w:r>
          </w:p>
        </w:tc>
        <w:tc>
          <w:tcPr>
            <w:tcW w:w="3519" w:type="dxa"/>
          </w:tcPr>
          <w:p w14:paraId="7FC0E4E4" w14:textId="77777777" w:rsidR="00981E86" w:rsidRPr="005428D4" w:rsidRDefault="00981E86" w:rsidP="0041376F">
            <w:pPr>
              <w:spacing w:before="120" w:after="120" w:line="320" w:lineRule="exact"/>
              <w:jc w:val="both"/>
              <w:rPr>
                <w:rFonts w:cstheme="minorHAnsi"/>
                <w:b/>
                <w:bCs/>
              </w:rPr>
            </w:pPr>
            <w:r w:rsidRPr="005428D4">
              <w:rPr>
                <w:rFonts w:cstheme="minorHAnsi"/>
                <w:b/>
                <w:bCs/>
              </w:rPr>
              <w:t xml:space="preserve">Inefficient Resource Utilization: </w:t>
            </w:r>
            <w:r w:rsidRPr="005428D4">
              <w:rPr>
                <w:rFonts w:cstheme="minorHAnsi"/>
              </w:rPr>
              <w:t>The absence of clear responsibility between IP and IPE le</w:t>
            </w:r>
            <w:r>
              <w:rPr>
                <w:rFonts w:cstheme="minorHAnsi"/>
              </w:rPr>
              <w:t>a</w:t>
            </w:r>
            <w:r w:rsidRPr="005428D4">
              <w:rPr>
                <w:rFonts w:cstheme="minorHAnsi"/>
              </w:rPr>
              <w:t xml:space="preserve">d to duplication of efforts and misallocation of resources. Tasks were often picked up by both teams or left unattended because ownership was unclear. </w:t>
            </w:r>
          </w:p>
        </w:tc>
        <w:tc>
          <w:tcPr>
            <w:tcW w:w="5760" w:type="dxa"/>
          </w:tcPr>
          <w:p w14:paraId="2619F478" w14:textId="77777777" w:rsidR="00981E86" w:rsidRPr="005428D4" w:rsidRDefault="00981E86" w:rsidP="0041376F">
            <w:pPr>
              <w:pStyle w:val="ListParagraph"/>
              <w:numPr>
                <w:ilvl w:val="0"/>
                <w:numId w:val="30"/>
              </w:numPr>
              <w:spacing w:before="120" w:after="120" w:line="320" w:lineRule="exact"/>
              <w:jc w:val="both"/>
              <w:rPr>
                <w:rFonts w:cstheme="minorHAnsi"/>
              </w:rPr>
            </w:pPr>
            <w:r w:rsidRPr="005428D4">
              <w:t>Introducing a RACI matrix (Responsible, Accountable, Consulted, Informed) and workflow tracking tools will ensure clarity on who is responsible for each deliverable.</w:t>
            </w:r>
          </w:p>
          <w:p w14:paraId="4CC459F6" w14:textId="77777777" w:rsidR="00981E86" w:rsidRPr="005428D4" w:rsidRDefault="00981E86" w:rsidP="0041376F">
            <w:pPr>
              <w:pStyle w:val="ListParagraph"/>
              <w:spacing w:before="120" w:after="120" w:line="320" w:lineRule="exact"/>
              <w:ind w:left="340"/>
              <w:jc w:val="both"/>
              <w:rPr>
                <w:rFonts w:cstheme="minorHAnsi"/>
              </w:rPr>
            </w:pPr>
          </w:p>
          <w:p w14:paraId="23BC1F51" w14:textId="77777777" w:rsidR="00981E86" w:rsidRPr="005428D4" w:rsidRDefault="00981E86" w:rsidP="0041376F">
            <w:pPr>
              <w:pStyle w:val="ListParagraph"/>
              <w:numPr>
                <w:ilvl w:val="0"/>
                <w:numId w:val="30"/>
              </w:numPr>
              <w:spacing w:before="120" w:after="120" w:line="320" w:lineRule="exact"/>
              <w:jc w:val="both"/>
              <w:rPr>
                <w:rFonts w:cstheme="minorHAnsi"/>
              </w:rPr>
            </w:pPr>
            <w:r w:rsidRPr="005428D4">
              <w:rPr>
                <w:rFonts w:cstheme="minorHAnsi"/>
              </w:rPr>
              <w:t>Clear division of responsibilities enhances operational efficiency by reducing duplication and delays. It allows better workload management, improves accountability.</w:t>
            </w:r>
          </w:p>
        </w:tc>
      </w:tr>
      <w:tr w:rsidR="00981E86" w:rsidRPr="00B331B9" w14:paraId="20C2F679" w14:textId="77777777" w:rsidTr="0041376F">
        <w:trPr>
          <w:trHeight w:val="229"/>
        </w:trPr>
        <w:tc>
          <w:tcPr>
            <w:tcW w:w="706" w:type="dxa"/>
          </w:tcPr>
          <w:p w14:paraId="362BBD9B" w14:textId="77777777" w:rsidR="00981E86" w:rsidRDefault="00981E86" w:rsidP="0041376F">
            <w:pPr>
              <w:spacing w:before="120" w:after="120" w:line="320" w:lineRule="exact"/>
              <w:jc w:val="both"/>
              <w:rPr>
                <w:rFonts w:cstheme="minorHAnsi"/>
              </w:rPr>
            </w:pPr>
            <w:r>
              <w:rPr>
                <w:rFonts w:cstheme="minorHAnsi"/>
              </w:rPr>
              <w:t xml:space="preserve">4. </w:t>
            </w:r>
          </w:p>
        </w:tc>
        <w:tc>
          <w:tcPr>
            <w:tcW w:w="3519" w:type="dxa"/>
          </w:tcPr>
          <w:p w14:paraId="4715C458" w14:textId="77777777" w:rsidR="00981E86" w:rsidRPr="005428D4" w:rsidRDefault="00981E86" w:rsidP="0041376F">
            <w:pPr>
              <w:spacing w:before="120" w:after="120" w:line="320" w:lineRule="exact"/>
              <w:jc w:val="both"/>
              <w:rPr>
                <w:rFonts w:cstheme="minorHAnsi"/>
                <w:b/>
                <w:bCs/>
              </w:rPr>
            </w:pPr>
            <w:r w:rsidRPr="005428D4">
              <w:rPr>
                <w:rFonts w:cstheme="minorHAnsi"/>
                <w:b/>
                <w:bCs/>
              </w:rPr>
              <w:t xml:space="preserve">Decision-Making Bottlenecks: </w:t>
            </w:r>
            <w:r w:rsidRPr="005428D4">
              <w:rPr>
                <w:rFonts w:cstheme="minorHAnsi"/>
              </w:rPr>
              <w:t>The lack of clear division of responsibility between IP and IPE created significant delays in decision-making. With multiple stakeholders involved in approvals and no defined authority, even routine decisions required extensive back-and-forth.</w:t>
            </w:r>
          </w:p>
        </w:tc>
        <w:tc>
          <w:tcPr>
            <w:tcW w:w="5760" w:type="dxa"/>
          </w:tcPr>
          <w:p w14:paraId="291A3711" w14:textId="77777777" w:rsidR="00981E86" w:rsidRPr="005428D4" w:rsidRDefault="00981E86" w:rsidP="0041376F">
            <w:pPr>
              <w:pStyle w:val="ListParagraph"/>
              <w:numPr>
                <w:ilvl w:val="0"/>
                <w:numId w:val="30"/>
              </w:numPr>
              <w:spacing w:before="120" w:after="120" w:line="320" w:lineRule="exact"/>
              <w:jc w:val="both"/>
            </w:pPr>
            <w:r w:rsidRPr="005428D4">
              <w:t>We need to establish a governance structure that defines decision-making authority for each workstream. Assigning a single accountable owner for approvals within IP and IPE will streamline processes. Additionally, implementing an escalation matrix and setting turnaround time (TAT) benchmarks for decisions will ensure faster resolution and improved client communication.</w:t>
            </w:r>
          </w:p>
          <w:p w14:paraId="6DBF4B82" w14:textId="77777777" w:rsidR="00981E86" w:rsidRPr="005428D4" w:rsidRDefault="00981E86" w:rsidP="0041376F">
            <w:pPr>
              <w:pStyle w:val="ListParagraph"/>
              <w:spacing w:before="120" w:after="120" w:line="320" w:lineRule="exact"/>
              <w:ind w:left="340"/>
              <w:jc w:val="both"/>
            </w:pPr>
          </w:p>
          <w:p w14:paraId="5EC0AD3D" w14:textId="77777777" w:rsidR="00981E86" w:rsidRPr="005428D4" w:rsidRDefault="00981E86" w:rsidP="0041376F">
            <w:pPr>
              <w:pStyle w:val="ListParagraph"/>
              <w:numPr>
                <w:ilvl w:val="0"/>
                <w:numId w:val="30"/>
              </w:numPr>
              <w:spacing w:before="120" w:after="120" w:line="320" w:lineRule="exact"/>
              <w:jc w:val="both"/>
            </w:pPr>
            <w:r w:rsidRPr="005428D4">
              <w:t>Clear authority and structured governance reduce delays and improve operational agility. This approach ensures accountability while enabling quicker, more effective decision-making.</w:t>
            </w:r>
          </w:p>
        </w:tc>
      </w:tr>
    </w:tbl>
    <w:p w14:paraId="0335D62E" w14:textId="77777777" w:rsidR="00B128B9" w:rsidRDefault="00B128B9" w:rsidP="00981E86">
      <w:pPr>
        <w:rPr>
          <w:rFonts w:cstheme="minorHAnsi"/>
          <w:b/>
          <w:bCs/>
          <w:u w:val="single"/>
        </w:rPr>
      </w:pPr>
    </w:p>
    <w:p w14:paraId="3C1015F4" w14:textId="177BCB60" w:rsidR="00981E86" w:rsidRPr="006D4CC1" w:rsidRDefault="00981E86" w:rsidP="005F5507">
      <w:pPr>
        <w:pStyle w:val="ListParagraph"/>
        <w:numPr>
          <w:ilvl w:val="0"/>
          <w:numId w:val="61"/>
        </w:numPr>
        <w:jc w:val="both"/>
        <w:rPr>
          <w:rFonts w:cstheme="minorHAnsi"/>
        </w:rPr>
      </w:pPr>
      <w:r w:rsidRPr="006D4CC1">
        <w:rPr>
          <w:rFonts w:cstheme="minorHAnsi"/>
          <w:b/>
          <w:bCs/>
        </w:rPr>
        <w:t>Restricting appointment of professionals in genuine cases like accounting, auditing by connected firms of IPEs (Clause 23B)</w:t>
      </w:r>
    </w:p>
    <w:p w14:paraId="502703D6" w14:textId="77777777" w:rsidR="00981E86" w:rsidRPr="00276205" w:rsidRDefault="00981E86" w:rsidP="00276205">
      <w:pPr>
        <w:pStyle w:val="ListParagraph"/>
        <w:numPr>
          <w:ilvl w:val="0"/>
          <w:numId w:val="56"/>
        </w:numPr>
        <w:spacing w:before="120" w:after="120" w:line="320" w:lineRule="exact"/>
        <w:ind w:left="993" w:hanging="284"/>
        <w:jc w:val="both"/>
        <w:rPr>
          <w:rFonts w:cstheme="minorHAnsi"/>
        </w:rPr>
      </w:pPr>
      <w:r w:rsidRPr="00276205">
        <w:rPr>
          <w:rFonts w:cstheme="minorHAnsi"/>
        </w:rPr>
        <w:t xml:space="preserve">Clause 23B of the Code of Conduct for IPs seeks to uphold independence, integrity, and impartiality in insolvency proceedings by restricting IPs from appointing of professionals from connected firms of IPEs. While this provision aims to prevent conflicts of interest and uphold transparency, its blanket application has resulted in certain practical challenges. </w:t>
      </w:r>
    </w:p>
    <w:p w14:paraId="03CB0C8D" w14:textId="77777777" w:rsidR="00981E86" w:rsidRDefault="00981E86" w:rsidP="00276205">
      <w:pPr>
        <w:pStyle w:val="ListParagraph"/>
        <w:numPr>
          <w:ilvl w:val="0"/>
          <w:numId w:val="56"/>
        </w:numPr>
        <w:spacing w:before="120" w:after="120" w:line="320" w:lineRule="exact"/>
        <w:ind w:left="993" w:hanging="284"/>
        <w:jc w:val="both"/>
        <w:rPr>
          <w:rFonts w:cstheme="minorHAnsi"/>
        </w:rPr>
      </w:pPr>
      <w:r w:rsidRPr="00276205">
        <w:rPr>
          <w:rFonts w:cstheme="minorHAnsi"/>
        </w:rPr>
        <w:t>In genuine cases, where IPE or its connected firms possess the required expertise, infrastructure, skill set required, the IRP/RP face operational inefficiencies, delays, and higher costs due to limited professional options.  Therefore, a balanced approach is needed to preserve independence without compromising cost efficiency and process efficiency in the resolution process.</w:t>
      </w:r>
    </w:p>
    <w:p w14:paraId="3B7CED96" w14:textId="77777777" w:rsidR="00D14F96" w:rsidRDefault="00D14F96" w:rsidP="00D14F96">
      <w:pPr>
        <w:spacing w:before="120" w:after="120" w:line="320" w:lineRule="exact"/>
        <w:jc w:val="both"/>
        <w:rPr>
          <w:rFonts w:cstheme="minorHAnsi"/>
        </w:rPr>
      </w:pPr>
    </w:p>
    <w:p w14:paraId="49195E5D" w14:textId="77777777" w:rsidR="00D14F96" w:rsidRDefault="00D14F96" w:rsidP="00D14F96">
      <w:pPr>
        <w:spacing w:before="120" w:after="120" w:line="320" w:lineRule="exact"/>
        <w:jc w:val="both"/>
        <w:rPr>
          <w:rFonts w:cstheme="minorHAnsi"/>
        </w:rPr>
      </w:pPr>
    </w:p>
    <w:p w14:paraId="30319159" w14:textId="77777777" w:rsidR="00D14F96" w:rsidRPr="00D14F96" w:rsidRDefault="00D14F96" w:rsidP="00D14F96">
      <w:pPr>
        <w:spacing w:before="120" w:after="120" w:line="320" w:lineRule="exact"/>
        <w:jc w:val="both"/>
        <w:rPr>
          <w:rFonts w:cstheme="minorHAnsi"/>
        </w:rPr>
      </w:pPr>
    </w:p>
    <w:tbl>
      <w:tblPr>
        <w:tblStyle w:val="TableGrid"/>
        <w:tblW w:w="10075" w:type="dxa"/>
        <w:tblLook w:val="04A0" w:firstRow="1" w:lastRow="0" w:firstColumn="1" w:lastColumn="0" w:noHBand="0" w:noVBand="1"/>
      </w:tblPr>
      <w:tblGrid>
        <w:gridCol w:w="706"/>
        <w:gridCol w:w="4419"/>
        <w:gridCol w:w="4950"/>
      </w:tblGrid>
      <w:tr w:rsidR="00981E86" w:rsidRPr="00B331B9" w14:paraId="6DCB416B" w14:textId="77777777" w:rsidTr="0041376F">
        <w:trPr>
          <w:trHeight w:val="20"/>
        </w:trPr>
        <w:tc>
          <w:tcPr>
            <w:tcW w:w="706" w:type="dxa"/>
          </w:tcPr>
          <w:p w14:paraId="1FAD2E9A" w14:textId="77777777" w:rsidR="00981E86" w:rsidRPr="00B331B9" w:rsidRDefault="00981E86" w:rsidP="0041376F">
            <w:pPr>
              <w:spacing w:before="120" w:after="120" w:line="320" w:lineRule="exact"/>
              <w:jc w:val="both"/>
              <w:rPr>
                <w:rFonts w:cstheme="minorHAnsi"/>
                <w:b/>
                <w:bCs/>
              </w:rPr>
            </w:pPr>
            <w:r w:rsidRPr="00B331B9">
              <w:rPr>
                <w:rFonts w:cstheme="minorHAnsi"/>
                <w:b/>
                <w:bCs/>
              </w:rPr>
              <w:t>S.No</w:t>
            </w:r>
          </w:p>
        </w:tc>
        <w:tc>
          <w:tcPr>
            <w:tcW w:w="4419" w:type="dxa"/>
          </w:tcPr>
          <w:p w14:paraId="51E19852" w14:textId="77777777" w:rsidR="00981E86" w:rsidRPr="00B331B9" w:rsidRDefault="00981E86" w:rsidP="0041376F">
            <w:pPr>
              <w:spacing w:before="120" w:after="120" w:line="320" w:lineRule="exact"/>
              <w:jc w:val="both"/>
              <w:rPr>
                <w:rFonts w:cstheme="minorHAnsi"/>
                <w:b/>
                <w:bCs/>
              </w:rPr>
            </w:pPr>
            <w:r w:rsidRPr="00B331B9">
              <w:rPr>
                <w:rFonts w:cstheme="minorHAnsi"/>
                <w:b/>
                <w:bCs/>
              </w:rPr>
              <w:t>Key Challenges</w:t>
            </w:r>
          </w:p>
        </w:tc>
        <w:tc>
          <w:tcPr>
            <w:tcW w:w="4950" w:type="dxa"/>
          </w:tcPr>
          <w:p w14:paraId="569D5B7A" w14:textId="77777777" w:rsidR="00981E86" w:rsidRPr="00B331B9" w:rsidRDefault="00981E86" w:rsidP="0041376F">
            <w:pPr>
              <w:spacing w:before="120" w:after="120" w:line="320" w:lineRule="exact"/>
              <w:jc w:val="both"/>
              <w:rPr>
                <w:rFonts w:cstheme="minorHAnsi"/>
                <w:b/>
                <w:bCs/>
              </w:rPr>
            </w:pPr>
            <w:r w:rsidRPr="00B331B9">
              <w:rPr>
                <w:rFonts w:cstheme="minorHAnsi"/>
                <w:b/>
                <w:bCs/>
              </w:rPr>
              <w:t>Way forward &amp; rationale</w:t>
            </w:r>
          </w:p>
        </w:tc>
      </w:tr>
      <w:tr w:rsidR="00981E86" w:rsidRPr="00B331B9" w14:paraId="5C67B092" w14:textId="77777777" w:rsidTr="0041376F">
        <w:trPr>
          <w:trHeight w:val="229"/>
        </w:trPr>
        <w:tc>
          <w:tcPr>
            <w:tcW w:w="706" w:type="dxa"/>
          </w:tcPr>
          <w:p w14:paraId="29998781" w14:textId="77777777" w:rsidR="00981E86" w:rsidRPr="00D956C7" w:rsidRDefault="00981E86" w:rsidP="0041376F">
            <w:pPr>
              <w:spacing w:before="120" w:after="120" w:line="320" w:lineRule="exact"/>
              <w:jc w:val="both"/>
              <w:rPr>
                <w:rFonts w:cstheme="minorHAnsi"/>
              </w:rPr>
            </w:pPr>
            <w:r w:rsidRPr="00D956C7">
              <w:rPr>
                <w:rFonts w:cstheme="minorHAnsi"/>
              </w:rPr>
              <w:t>1.</w:t>
            </w:r>
          </w:p>
        </w:tc>
        <w:tc>
          <w:tcPr>
            <w:tcW w:w="4419" w:type="dxa"/>
          </w:tcPr>
          <w:p w14:paraId="01F02D6B" w14:textId="77777777" w:rsidR="00981E86" w:rsidRPr="00D956C7" w:rsidRDefault="00981E86" w:rsidP="0041376F">
            <w:pPr>
              <w:spacing w:before="120" w:after="120" w:line="276" w:lineRule="auto"/>
              <w:jc w:val="both"/>
              <w:rPr>
                <w:rFonts w:cstheme="minorHAnsi"/>
              </w:rPr>
            </w:pPr>
            <w:r w:rsidRPr="00D956C7">
              <w:rPr>
                <w:rFonts w:cstheme="minorHAnsi"/>
                <w:b/>
                <w:bCs/>
              </w:rPr>
              <w:t>Resource Constraints</w:t>
            </w:r>
            <w:r w:rsidRPr="00D956C7">
              <w:rPr>
                <w:rFonts w:cstheme="minorHAnsi"/>
              </w:rPr>
              <w:t>: In cases where specialized skills are required, I</w:t>
            </w:r>
            <w:r>
              <w:rPr>
                <w:rFonts w:cstheme="minorHAnsi"/>
              </w:rPr>
              <w:t xml:space="preserve">RP/RP </w:t>
            </w:r>
            <w:r w:rsidRPr="00D956C7">
              <w:rPr>
                <w:rFonts w:cstheme="minorHAnsi"/>
              </w:rPr>
              <w:t>may find it difficult to appoint qualified professionals who are unrelated, potentially leading to delays or compromises in the quality of services.</w:t>
            </w:r>
          </w:p>
          <w:p w14:paraId="760B1545" w14:textId="77777777" w:rsidR="00981E86" w:rsidRPr="00D956C7" w:rsidRDefault="00981E86" w:rsidP="0041376F">
            <w:pPr>
              <w:spacing w:before="120" w:after="120" w:line="276" w:lineRule="auto"/>
              <w:jc w:val="both"/>
              <w:rPr>
                <w:rFonts w:cstheme="minorHAnsi"/>
              </w:rPr>
            </w:pPr>
            <w:r w:rsidRPr="00D956C7">
              <w:rPr>
                <w:rFonts w:cstheme="minorHAnsi"/>
              </w:rPr>
              <w:t>Further, current restrictions prevent IPEs from engaging connected or network firms even in genuine cases where such firms possess required expertise &amp; institutional familiarity.</w:t>
            </w:r>
          </w:p>
        </w:tc>
        <w:tc>
          <w:tcPr>
            <w:tcW w:w="4950" w:type="dxa"/>
          </w:tcPr>
          <w:p w14:paraId="223BE923" w14:textId="77777777" w:rsidR="00981E86" w:rsidRDefault="00981E86" w:rsidP="0041376F">
            <w:pPr>
              <w:spacing w:before="120" w:after="120" w:line="276" w:lineRule="auto"/>
              <w:jc w:val="both"/>
              <w:rPr>
                <w:rFonts w:cstheme="minorHAnsi"/>
              </w:rPr>
            </w:pPr>
            <w:r>
              <w:rPr>
                <w:rFonts w:cstheme="minorHAnsi"/>
                <w:b/>
                <w:bCs/>
              </w:rPr>
              <w:t xml:space="preserve">The </w:t>
            </w:r>
            <w:r w:rsidRPr="001337D7">
              <w:rPr>
                <w:rFonts w:cstheme="minorHAnsi"/>
                <w:b/>
                <w:bCs/>
              </w:rPr>
              <w:t>connected or network professional of IP/IPE</w:t>
            </w:r>
            <w:r w:rsidRPr="001337D7">
              <w:rPr>
                <w:rFonts w:cstheme="minorHAnsi"/>
              </w:rPr>
              <w:t xml:space="preserve"> may be allowed to participate in the competitive bid process wherever necessary if the relationship is fully disclosed in writing to the CoC, IPA &amp; IBBI. </w:t>
            </w:r>
          </w:p>
          <w:p w14:paraId="6F6BB1DD" w14:textId="77777777" w:rsidR="00981E86" w:rsidRPr="001337D7" w:rsidRDefault="00981E86" w:rsidP="0041376F">
            <w:pPr>
              <w:spacing w:before="120" w:after="120" w:line="276" w:lineRule="auto"/>
              <w:jc w:val="both"/>
              <w:rPr>
                <w:rFonts w:cstheme="minorHAnsi"/>
              </w:rPr>
            </w:pPr>
          </w:p>
          <w:p w14:paraId="11935670" w14:textId="77777777" w:rsidR="00981E86" w:rsidRPr="001337D7" w:rsidRDefault="00981E86" w:rsidP="0041376F">
            <w:pPr>
              <w:spacing w:before="120" w:after="120" w:line="276" w:lineRule="auto"/>
              <w:jc w:val="both"/>
              <w:rPr>
                <w:rFonts w:cstheme="minorHAnsi"/>
              </w:rPr>
            </w:pPr>
          </w:p>
        </w:tc>
      </w:tr>
      <w:tr w:rsidR="00981E86" w:rsidRPr="00B331B9" w14:paraId="1584B1F1" w14:textId="77777777" w:rsidTr="0041376F">
        <w:trPr>
          <w:trHeight w:val="229"/>
        </w:trPr>
        <w:tc>
          <w:tcPr>
            <w:tcW w:w="706" w:type="dxa"/>
          </w:tcPr>
          <w:p w14:paraId="10EDBF7D" w14:textId="77777777" w:rsidR="00981E86" w:rsidRPr="00B331B9" w:rsidRDefault="00981E86" w:rsidP="0041376F">
            <w:pPr>
              <w:spacing w:before="120" w:after="120" w:line="320" w:lineRule="exact"/>
              <w:jc w:val="both"/>
              <w:rPr>
                <w:rFonts w:cstheme="minorHAnsi"/>
              </w:rPr>
            </w:pPr>
            <w:r>
              <w:rPr>
                <w:rFonts w:cstheme="minorHAnsi"/>
              </w:rPr>
              <w:t>2</w:t>
            </w:r>
            <w:r w:rsidRPr="00B331B9">
              <w:rPr>
                <w:rFonts w:cstheme="minorHAnsi"/>
              </w:rPr>
              <w:t>.</w:t>
            </w:r>
          </w:p>
        </w:tc>
        <w:tc>
          <w:tcPr>
            <w:tcW w:w="4419" w:type="dxa"/>
          </w:tcPr>
          <w:p w14:paraId="0BD7C7D9" w14:textId="77777777" w:rsidR="00981E86" w:rsidRPr="00B331B9" w:rsidRDefault="00981E86" w:rsidP="0041376F">
            <w:pPr>
              <w:spacing w:before="120" w:after="120" w:line="276" w:lineRule="auto"/>
              <w:jc w:val="both"/>
              <w:rPr>
                <w:rFonts w:cstheme="minorHAnsi"/>
                <w:b/>
                <w:bCs/>
              </w:rPr>
            </w:pPr>
            <w:r w:rsidRPr="00B331B9">
              <w:rPr>
                <w:rFonts w:cstheme="minorHAnsi"/>
                <w:b/>
                <w:bCs/>
              </w:rPr>
              <w:t>Cost Inefficiency:</w:t>
            </w:r>
            <w:r w:rsidRPr="00B331B9">
              <w:rPr>
                <w:rFonts w:cstheme="minorHAnsi"/>
              </w:rPr>
              <w:t xml:space="preserve"> Insolvency proceedings often experience cost overruns because every assignment requires the appointment of entirely new and unrelated professionals, leading to repeated onboarding &amp; higher professional fees.</w:t>
            </w:r>
          </w:p>
        </w:tc>
        <w:tc>
          <w:tcPr>
            <w:tcW w:w="4950" w:type="dxa"/>
          </w:tcPr>
          <w:p w14:paraId="701A9477" w14:textId="77777777" w:rsidR="00981E86" w:rsidRDefault="00981E86" w:rsidP="0041376F">
            <w:pPr>
              <w:spacing w:before="120" w:after="120" w:line="276" w:lineRule="auto"/>
              <w:jc w:val="both"/>
              <w:rPr>
                <w:rFonts w:cstheme="minorHAnsi"/>
              </w:rPr>
            </w:pPr>
            <w:r w:rsidRPr="00B331B9">
              <w:rPr>
                <w:rFonts w:cstheme="minorHAnsi"/>
              </w:rPr>
              <w:t>With appointment of connected firms that already understand the IPE’s working structure, leveraging that existing familiarity eliminates repetitive onboarding</w:t>
            </w:r>
            <w:r>
              <w:rPr>
                <w:rFonts w:cstheme="minorHAnsi"/>
              </w:rPr>
              <w:t xml:space="preserve">, </w:t>
            </w:r>
            <w:r w:rsidRPr="00B331B9">
              <w:rPr>
                <w:rFonts w:cstheme="minorHAnsi"/>
              </w:rPr>
              <w:t>learning curves</w:t>
            </w:r>
            <w:r>
              <w:rPr>
                <w:rFonts w:cstheme="minorHAnsi"/>
              </w:rPr>
              <w:t xml:space="preserve"> &amp; </w:t>
            </w:r>
            <w:r w:rsidRPr="00B331B9">
              <w:rPr>
                <w:rFonts w:cstheme="minorHAnsi"/>
              </w:rPr>
              <w:t>execution time.</w:t>
            </w:r>
          </w:p>
          <w:p w14:paraId="46BE81C1" w14:textId="77777777" w:rsidR="00981E86" w:rsidRPr="00B331B9" w:rsidRDefault="00981E86" w:rsidP="0041376F">
            <w:pPr>
              <w:spacing w:before="120" w:after="120" w:line="276" w:lineRule="auto"/>
              <w:jc w:val="both"/>
              <w:rPr>
                <w:rFonts w:cstheme="minorHAnsi"/>
              </w:rPr>
            </w:pPr>
            <w:r>
              <w:rPr>
                <w:rFonts w:cstheme="minorHAnsi"/>
              </w:rPr>
              <w:t xml:space="preserve">The COC may be able to negotiate a better consolidated fee. </w:t>
            </w:r>
          </w:p>
        </w:tc>
      </w:tr>
      <w:tr w:rsidR="00981E86" w:rsidRPr="00B331B9" w14:paraId="7555C5B2" w14:textId="77777777" w:rsidTr="0041376F">
        <w:trPr>
          <w:trHeight w:val="229"/>
        </w:trPr>
        <w:tc>
          <w:tcPr>
            <w:tcW w:w="706" w:type="dxa"/>
          </w:tcPr>
          <w:p w14:paraId="1EAB2273" w14:textId="77777777" w:rsidR="00981E86" w:rsidRPr="005428D4" w:rsidRDefault="00981E86" w:rsidP="0041376F">
            <w:pPr>
              <w:spacing w:before="120" w:after="120" w:line="320" w:lineRule="exact"/>
              <w:jc w:val="both"/>
              <w:rPr>
                <w:rFonts w:cstheme="minorHAnsi"/>
              </w:rPr>
            </w:pPr>
            <w:r w:rsidRPr="005428D4">
              <w:rPr>
                <w:rFonts w:cstheme="minorHAnsi"/>
              </w:rPr>
              <w:t xml:space="preserve">3. </w:t>
            </w:r>
          </w:p>
        </w:tc>
        <w:tc>
          <w:tcPr>
            <w:tcW w:w="4419" w:type="dxa"/>
          </w:tcPr>
          <w:p w14:paraId="26555C96" w14:textId="77777777" w:rsidR="00981E86" w:rsidRPr="005428D4" w:rsidRDefault="00981E86" w:rsidP="0041376F">
            <w:pPr>
              <w:spacing w:before="120" w:after="120" w:line="276" w:lineRule="auto"/>
              <w:jc w:val="both"/>
              <w:rPr>
                <w:rFonts w:cstheme="minorHAnsi"/>
                <w:b/>
                <w:bCs/>
              </w:rPr>
            </w:pPr>
            <w:r w:rsidRPr="005428D4">
              <w:rPr>
                <w:rFonts w:cstheme="minorHAnsi"/>
                <w:b/>
                <w:bCs/>
              </w:rPr>
              <w:t xml:space="preserve">Compliance Burden: </w:t>
            </w:r>
            <w:r w:rsidRPr="005428D4">
              <w:rPr>
                <w:rFonts w:cstheme="minorHAnsi"/>
              </w:rPr>
              <w:t>The blanket restriction has increased the compliance burden on IRPs/RPs. They must spend significant time and effort conducting due diligence to ensure independence and avoid any perceived conflict of interest. This additional administrative work prolongs timelines, diverts focus from core resolution activities, and adds complexity to an already time-sensitive process.</w:t>
            </w:r>
          </w:p>
        </w:tc>
        <w:tc>
          <w:tcPr>
            <w:tcW w:w="4950" w:type="dxa"/>
          </w:tcPr>
          <w:p w14:paraId="33CDB2EC" w14:textId="77777777" w:rsidR="00981E86" w:rsidRPr="005428D4" w:rsidRDefault="00981E86" w:rsidP="0041376F">
            <w:pPr>
              <w:spacing w:before="120" w:after="120" w:line="276" w:lineRule="auto"/>
              <w:jc w:val="both"/>
              <w:rPr>
                <w:rFonts w:cstheme="minorHAnsi"/>
              </w:rPr>
            </w:pPr>
            <w:r w:rsidRPr="005428D4">
              <w:rPr>
                <w:rFonts w:cstheme="minorHAnsi"/>
              </w:rPr>
              <w:t>Introduce a streamlined compliance framework that allows conditional engagement of connected firms under strict disclosure norms and prior approval from the CoC or IBBI. This approach reduces unnecessary administrative overhead while maintaining transparency and integrity. Automated disclosure templates and predefined approval workflows can further simplify compliance without compromising governance.</w:t>
            </w:r>
          </w:p>
        </w:tc>
      </w:tr>
    </w:tbl>
    <w:p w14:paraId="768E462E" w14:textId="77777777" w:rsidR="00981E86" w:rsidRDefault="00981E86" w:rsidP="00981E86">
      <w:pPr>
        <w:rPr>
          <w:rFonts w:cstheme="minorHAnsi"/>
          <w:b/>
          <w:bCs/>
          <w:u w:val="single"/>
        </w:rPr>
      </w:pPr>
    </w:p>
    <w:p w14:paraId="4B27511D" w14:textId="77777777" w:rsidR="00981E86" w:rsidRPr="006D4CC1" w:rsidRDefault="00981E86" w:rsidP="005F5507">
      <w:pPr>
        <w:pStyle w:val="ListParagraph"/>
        <w:numPr>
          <w:ilvl w:val="0"/>
          <w:numId w:val="61"/>
        </w:numPr>
        <w:jc w:val="both"/>
        <w:rPr>
          <w:rStyle w:val="Strong"/>
          <w:rFonts w:cstheme="minorHAnsi"/>
          <w:b w:val="0"/>
          <w:bCs w:val="0"/>
        </w:rPr>
      </w:pPr>
      <w:r w:rsidRPr="006D4CC1">
        <w:rPr>
          <w:rFonts w:cstheme="minorHAnsi"/>
          <w:b/>
          <w:bCs/>
        </w:rPr>
        <w:t>Clause 25B &amp; 26A of Code of Conduct for IPs (as per IBBI-IP Regulations)</w:t>
      </w:r>
    </w:p>
    <w:p w14:paraId="3E5FAFDC" w14:textId="77777777" w:rsidR="00981E86" w:rsidRPr="00B331B9" w:rsidRDefault="00981E86" w:rsidP="00B128B9">
      <w:pPr>
        <w:pStyle w:val="NormalWeb"/>
        <w:ind w:left="720"/>
        <w:rPr>
          <w:rFonts w:asciiTheme="minorHAnsi" w:hAnsiTheme="minorHAnsi" w:cstheme="minorHAnsi"/>
        </w:rPr>
      </w:pPr>
      <w:r w:rsidRPr="00B331B9">
        <w:rPr>
          <w:rFonts w:asciiTheme="minorHAnsi" w:hAnsiTheme="minorHAnsi" w:cstheme="minorHAnsi"/>
        </w:rPr>
        <w:t>Clauses 25</w:t>
      </w:r>
      <w:r>
        <w:rPr>
          <w:rFonts w:asciiTheme="minorHAnsi" w:hAnsiTheme="minorHAnsi" w:cstheme="minorHAnsi"/>
        </w:rPr>
        <w:t>B</w:t>
      </w:r>
      <w:r w:rsidRPr="00B331B9">
        <w:rPr>
          <w:rFonts w:asciiTheme="minorHAnsi" w:hAnsiTheme="minorHAnsi" w:cstheme="minorHAnsi"/>
        </w:rPr>
        <w:t xml:space="preserve"> </w:t>
      </w:r>
      <w:r>
        <w:rPr>
          <w:rFonts w:asciiTheme="minorHAnsi" w:hAnsiTheme="minorHAnsi" w:cstheme="minorHAnsi"/>
        </w:rPr>
        <w:t>and</w:t>
      </w:r>
      <w:r w:rsidRPr="00B331B9">
        <w:rPr>
          <w:rFonts w:asciiTheme="minorHAnsi" w:hAnsiTheme="minorHAnsi" w:cstheme="minorHAnsi"/>
        </w:rPr>
        <w:t xml:space="preserve"> 26A of the IP regulations aim to ensure </w:t>
      </w:r>
      <w:r w:rsidRPr="00314690">
        <w:rPr>
          <w:rStyle w:val="Strong"/>
          <w:rFonts w:asciiTheme="minorHAnsi" w:eastAsiaTheme="majorEastAsia" w:hAnsiTheme="minorHAnsi" w:cstheme="minorHAnsi"/>
          <w:b w:val="0"/>
          <w:bCs w:val="0"/>
        </w:rPr>
        <w:t>transparency, fairness, and accountability</w:t>
      </w:r>
      <w:r w:rsidRPr="00B331B9">
        <w:rPr>
          <w:rFonts w:asciiTheme="minorHAnsi" w:hAnsiTheme="minorHAnsi" w:cstheme="minorHAnsi"/>
        </w:rPr>
        <w:t xml:space="preserve"> in the remuneration of Insolvency Professionals (IPs).</w:t>
      </w:r>
      <w:r>
        <w:rPr>
          <w:rFonts w:asciiTheme="minorHAnsi" w:hAnsiTheme="minorHAnsi" w:cstheme="minorHAnsi"/>
        </w:rPr>
        <w:t xml:space="preserve">  In nutshell, these clauses require an IP to raise an invoice in his/her own name for the services </w:t>
      </w:r>
      <w:r>
        <w:rPr>
          <w:rFonts w:asciiTheme="minorHAnsi" w:hAnsiTheme="minorHAnsi" w:cstheme="minorHAnsi"/>
        </w:rPr>
        <w:lastRenderedPageBreak/>
        <w:t>as IRP/RP/Liquidator.  Moreover, there is additional requirement of IP to not share his/her fee with IPE of whom such IP is a director/partner.</w:t>
      </w:r>
    </w:p>
    <w:p w14:paraId="77EA5B18" w14:textId="77777777" w:rsidR="00981E86" w:rsidRPr="005559F3" w:rsidRDefault="00981E86" w:rsidP="00B128B9">
      <w:pPr>
        <w:pStyle w:val="NormalWeb"/>
        <w:spacing w:after="0" w:afterAutospacing="0"/>
        <w:ind w:firstLine="720"/>
        <w:rPr>
          <w:rFonts w:asciiTheme="minorHAnsi" w:hAnsiTheme="minorHAnsi" w:cstheme="minorHAnsi"/>
          <w:b/>
          <w:bCs/>
        </w:rPr>
      </w:pPr>
      <w:r w:rsidRPr="005559F3">
        <w:rPr>
          <w:rFonts w:asciiTheme="minorHAnsi" w:hAnsiTheme="minorHAnsi" w:cstheme="minorHAnsi"/>
          <w:b/>
          <w:bCs/>
        </w:rPr>
        <w:t>Challenges Faced</w:t>
      </w:r>
    </w:p>
    <w:p w14:paraId="74B58F31" w14:textId="77777777" w:rsidR="00981E86" w:rsidRPr="005559F3" w:rsidRDefault="00981E86" w:rsidP="00B128B9">
      <w:pPr>
        <w:spacing w:before="100" w:beforeAutospacing="1" w:after="100" w:afterAutospacing="1" w:line="240" w:lineRule="auto"/>
        <w:ind w:left="720"/>
        <w:rPr>
          <w:rFonts w:eastAsia="Times New Roman" w:cstheme="minorHAnsi"/>
          <w:b/>
          <w:bCs/>
        </w:rPr>
      </w:pPr>
      <w:r w:rsidRPr="005559F3">
        <w:rPr>
          <w:rStyle w:val="Strong"/>
          <w:rFonts w:eastAsia="Times New Roman" w:cstheme="minorHAnsi"/>
          <w:b w:val="0"/>
          <w:bCs w:val="0"/>
        </w:rPr>
        <w:t xml:space="preserve">Practical challenges faced by IPs while implementing the requirements of code of conduct as referred above, include:  </w:t>
      </w:r>
    </w:p>
    <w:p w14:paraId="74434528" w14:textId="77777777" w:rsidR="00981E86" w:rsidRDefault="00981E86" w:rsidP="00276205">
      <w:pPr>
        <w:numPr>
          <w:ilvl w:val="0"/>
          <w:numId w:val="57"/>
        </w:numPr>
        <w:tabs>
          <w:tab w:val="clear" w:pos="1080"/>
        </w:tabs>
        <w:spacing w:before="100" w:beforeAutospacing="1" w:after="100" w:afterAutospacing="1" w:line="240" w:lineRule="auto"/>
        <w:ind w:left="993" w:hanging="273"/>
        <w:rPr>
          <w:rFonts w:eastAsia="Times New Roman" w:cstheme="minorHAnsi"/>
        </w:rPr>
      </w:pPr>
      <w:r>
        <w:rPr>
          <w:rFonts w:eastAsia="Times New Roman" w:cstheme="minorHAnsi"/>
        </w:rPr>
        <w:t xml:space="preserve">The IPs may have to raise the invoice in the name of their IPE for the purposes of GST, since an individual IP (partner/director of IPE) may not have or may not want a separate GST </w:t>
      </w:r>
    </w:p>
    <w:p w14:paraId="53C10132" w14:textId="77777777" w:rsidR="00981E86" w:rsidRPr="00B331B9" w:rsidRDefault="00981E86" w:rsidP="00276205">
      <w:pPr>
        <w:numPr>
          <w:ilvl w:val="0"/>
          <w:numId w:val="57"/>
        </w:numPr>
        <w:tabs>
          <w:tab w:val="clear" w:pos="1080"/>
        </w:tabs>
        <w:spacing w:before="100" w:beforeAutospacing="1" w:after="100" w:afterAutospacing="1" w:line="240" w:lineRule="auto"/>
        <w:ind w:left="993" w:hanging="273"/>
        <w:rPr>
          <w:rFonts w:eastAsia="Times New Roman" w:cstheme="minorHAnsi"/>
        </w:rPr>
      </w:pPr>
      <w:r>
        <w:rPr>
          <w:rFonts w:eastAsia="Times New Roman" w:cstheme="minorHAnsi"/>
        </w:rPr>
        <w:t xml:space="preserve">The need for consolidating revenues in the account and balance sheet of IPE, may run counter to the envisaged position in the code of conduct.    </w:t>
      </w:r>
    </w:p>
    <w:p w14:paraId="2E57CA22" w14:textId="77777777" w:rsidR="00981E86" w:rsidRPr="005559F3" w:rsidRDefault="00981E86" w:rsidP="00B128B9">
      <w:pPr>
        <w:pStyle w:val="NormalWeb"/>
        <w:spacing w:after="0" w:afterAutospacing="0"/>
        <w:ind w:firstLine="720"/>
        <w:rPr>
          <w:rStyle w:val="Strong"/>
          <w:rFonts w:cstheme="minorHAnsi"/>
          <w:b w:val="0"/>
          <w:bCs w:val="0"/>
          <w:u w:val="single"/>
        </w:rPr>
      </w:pPr>
      <w:r w:rsidRPr="005559F3">
        <w:rPr>
          <w:rFonts w:asciiTheme="minorHAnsi" w:hAnsiTheme="minorHAnsi"/>
          <w:b/>
          <w:bCs/>
        </w:rPr>
        <w:t>Way Forward</w:t>
      </w:r>
    </w:p>
    <w:p w14:paraId="78F25490" w14:textId="77777777" w:rsidR="00981E86" w:rsidRPr="00575F46" w:rsidRDefault="00981E86" w:rsidP="00981E86">
      <w:pPr>
        <w:pStyle w:val="Heading4"/>
        <w:spacing w:before="0" w:after="0"/>
        <w:rPr>
          <w:rFonts w:eastAsia="Times New Roman" w:cstheme="minorHAnsi"/>
          <w:b/>
          <w:bCs/>
          <w:sz w:val="12"/>
          <w:szCs w:val="12"/>
          <w:u w:val="single"/>
        </w:rPr>
      </w:pPr>
    </w:p>
    <w:p w14:paraId="03A30CD4" w14:textId="2B26115A" w:rsidR="00981E86" w:rsidRPr="005559F3" w:rsidRDefault="00981E86" w:rsidP="004824C1">
      <w:pPr>
        <w:numPr>
          <w:ilvl w:val="0"/>
          <w:numId w:val="60"/>
        </w:numPr>
        <w:spacing w:after="0" w:afterAutospacing="1" w:line="276" w:lineRule="auto"/>
        <w:ind w:left="993" w:hanging="284"/>
        <w:jc w:val="both"/>
        <w:rPr>
          <w:rFonts w:eastAsia="Times New Roman" w:cstheme="minorHAnsi"/>
          <w:i/>
          <w:iCs/>
        </w:rPr>
      </w:pPr>
      <w:r w:rsidRPr="005559F3">
        <w:rPr>
          <w:rFonts w:eastAsia="Times New Roman" w:cstheme="minorHAnsi"/>
        </w:rPr>
        <w:t xml:space="preserve">It is suggested that, so long as sufficient disclosures regarding the fee are made, mere form and manner of booking the fee should not be prescribed and be left to the parties concerned.   </w:t>
      </w:r>
      <w:r w:rsidRPr="005559F3">
        <w:rPr>
          <w:rStyle w:val="Emphasis"/>
          <w:rFonts w:eastAsia="Times New Roman" w:cstheme="minorHAnsi"/>
          <w:i w:val="0"/>
          <w:iCs w:val="0"/>
        </w:rPr>
        <w:t>Clause 25B may include flexibility allowing individual IPs who are full-time partners or directors of registered Insolvency Professional Entities (IPEs) to raise invoices either in their own name or through the IPE, subject</w:t>
      </w:r>
      <w:r w:rsidR="00B128B9">
        <w:rPr>
          <w:rStyle w:val="Emphasis"/>
          <w:rFonts w:eastAsia="Times New Roman" w:cstheme="minorHAnsi"/>
          <w:i w:val="0"/>
          <w:iCs w:val="0"/>
        </w:rPr>
        <w:t xml:space="preserve"> </w:t>
      </w:r>
      <w:r w:rsidRPr="005559F3">
        <w:rPr>
          <w:rStyle w:val="Emphasis"/>
          <w:rFonts w:eastAsia="Times New Roman" w:cstheme="minorHAnsi"/>
          <w:i w:val="0"/>
          <w:iCs w:val="0"/>
        </w:rPr>
        <w:t>to disclosure and traceability.</w:t>
      </w:r>
    </w:p>
    <w:p w14:paraId="212FE5E0" w14:textId="77777777" w:rsidR="00981E86" w:rsidRPr="006D4CC1" w:rsidRDefault="00981E86" w:rsidP="004824C1">
      <w:pPr>
        <w:numPr>
          <w:ilvl w:val="0"/>
          <w:numId w:val="60"/>
        </w:numPr>
        <w:spacing w:after="0" w:afterAutospacing="1" w:line="276" w:lineRule="auto"/>
        <w:ind w:left="993" w:hanging="284"/>
        <w:jc w:val="both"/>
        <w:rPr>
          <w:rFonts w:eastAsia="Times New Roman" w:cstheme="minorHAnsi"/>
        </w:rPr>
      </w:pPr>
      <w:r w:rsidRPr="006D4CC1">
        <w:rPr>
          <w:rStyle w:val="Strong"/>
          <w:rFonts w:eastAsia="Times New Roman" w:cstheme="minorHAnsi"/>
        </w:rPr>
        <w:t>Success Fees or Milestone based fees</w:t>
      </w:r>
      <w:r w:rsidRPr="006D4CC1">
        <w:rPr>
          <w:rFonts w:eastAsia="Times New Roman" w:cstheme="minorHAnsi"/>
        </w:rPr>
        <w:t xml:space="preserve">: </w:t>
      </w:r>
      <w:r w:rsidRPr="006D4CC1">
        <w:rPr>
          <w:rStyle w:val="Emphasis"/>
          <w:rFonts w:eastAsia="Times New Roman" w:cstheme="minorHAnsi"/>
          <w:i w:val="0"/>
          <w:iCs w:val="0"/>
        </w:rPr>
        <w:t>Introduce a provision allowing IPs to seek provisional fee approval from CoC for specific milestones and pre-defined success parameters (e.g., public announcement, claim verification, forensic audit initiation).</w:t>
      </w:r>
    </w:p>
    <w:p w14:paraId="45929971" w14:textId="6118A37A" w:rsidR="00981E86" w:rsidRPr="00B331B9" w:rsidRDefault="00981E86" w:rsidP="004824C1">
      <w:pPr>
        <w:numPr>
          <w:ilvl w:val="0"/>
          <w:numId w:val="60"/>
        </w:numPr>
        <w:spacing w:after="0" w:afterAutospacing="1" w:line="276" w:lineRule="auto"/>
        <w:ind w:left="993" w:hanging="284"/>
        <w:jc w:val="both"/>
        <w:rPr>
          <w:rFonts w:eastAsia="Times New Roman" w:cstheme="minorHAnsi"/>
        </w:rPr>
      </w:pPr>
      <w:r w:rsidRPr="00B331B9">
        <w:rPr>
          <w:rStyle w:val="Strong"/>
          <w:rFonts w:eastAsia="Times New Roman" w:cstheme="minorHAnsi"/>
        </w:rPr>
        <w:t>Recognition of Effort Beyond Resolution Value</w:t>
      </w:r>
      <w:r w:rsidRPr="00B331B9">
        <w:rPr>
          <w:rFonts w:eastAsia="Times New Roman" w:cstheme="minorHAnsi"/>
        </w:rPr>
        <w:t xml:space="preserve">: </w:t>
      </w:r>
      <w:r w:rsidRPr="00B331B9">
        <w:rPr>
          <w:rStyle w:val="Emphasis"/>
          <w:rFonts w:eastAsia="Times New Roman" w:cstheme="minorHAnsi"/>
          <w:i w:val="0"/>
          <w:iCs w:val="0"/>
        </w:rPr>
        <w:t>Allow IPs</w:t>
      </w:r>
      <w:r>
        <w:rPr>
          <w:rStyle w:val="Emphasis"/>
          <w:rFonts w:eastAsia="Times New Roman" w:cstheme="minorHAnsi"/>
          <w:i w:val="0"/>
          <w:iCs w:val="0"/>
        </w:rPr>
        <w:t>, through regulatory nudge and awareness among banks,</w:t>
      </w:r>
      <w:r w:rsidRPr="00B331B9">
        <w:rPr>
          <w:rStyle w:val="Emphasis"/>
          <w:rFonts w:eastAsia="Times New Roman" w:cstheme="minorHAnsi"/>
          <w:i w:val="0"/>
          <w:iCs w:val="0"/>
        </w:rPr>
        <w:t xml:space="preserve"> to justify higher fees based on qualitative contributions such as litigation management, stakeholder coordination, or revival</w:t>
      </w:r>
      <w:r w:rsidR="00B128B9">
        <w:rPr>
          <w:rStyle w:val="Emphasis"/>
          <w:rFonts w:eastAsia="Times New Roman" w:cstheme="minorHAnsi"/>
          <w:i w:val="0"/>
          <w:iCs w:val="0"/>
        </w:rPr>
        <w:t xml:space="preserve"> </w:t>
      </w:r>
      <w:r w:rsidRPr="00B331B9">
        <w:rPr>
          <w:rStyle w:val="Emphasis"/>
          <w:rFonts w:eastAsia="Times New Roman" w:cstheme="minorHAnsi"/>
          <w:i w:val="0"/>
          <w:iCs w:val="0"/>
        </w:rPr>
        <w:t>efforts, even if resolution value is low.</w:t>
      </w:r>
    </w:p>
    <w:p w14:paraId="604FF8AE" w14:textId="77777777" w:rsidR="004824C1" w:rsidRDefault="00981E86" w:rsidP="004824C1">
      <w:pPr>
        <w:numPr>
          <w:ilvl w:val="0"/>
          <w:numId w:val="60"/>
        </w:numPr>
        <w:spacing w:after="0" w:afterAutospacing="1" w:line="276" w:lineRule="auto"/>
        <w:ind w:left="993" w:hanging="284"/>
        <w:jc w:val="both"/>
        <w:rPr>
          <w:rStyle w:val="Emphasis"/>
          <w:rFonts w:eastAsia="Times New Roman" w:cstheme="minorHAnsi"/>
          <w:i w:val="0"/>
          <w:iCs w:val="0"/>
        </w:rPr>
      </w:pPr>
      <w:r w:rsidRPr="004824C1">
        <w:rPr>
          <w:rStyle w:val="Strong"/>
          <w:rFonts w:eastAsia="Times New Roman" w:cstheme="minorHAnsi"/>
        </w:rPr>
        <w:t>Fee Escalation Clause for Extended Timelines</w:t>
      </w:r>
      <w:r w:rsidRPr="004824C1">
        <w:rPr>
          <w:rFonts w:eastAsia="Times New Roman" w:cstheme="minorHAnsi"/>
        </w:rPr>
        <w:t xml:space="preserve">: </w:t>
      </w:r>
      <w:r w:rsidRPr="004824C1">
        <w:rPr>
          <w:rStyle w:val="Emphasis"/>
          <w:rFonts w:eastAsia="Times New Roman" w:cstheme="minorHAnsi"/>
          <w:i w:val="0"/>
          <w:iCs w:val="0"/>
        </w:rPr>
        <w:t xml:space="preserve">Permit IPs to include a time-linked </w:t>
      </w:r>
      <w:r w:rsidR="00B128B9" w:rsidRPr="004824C1">
        <w:rPr>
          <w:rStyle w:val="Emphasis"/>
          <w:rFonts w:eastAsia="Times New Roman" w:cstheme="minorHAnsi"/>
          <w:i w:val="0"/>
          <w:iCs w:val="0"/>
        </w:rPr>
        <w:t>e</w:t>
      </w:r>
      <w:r w:rsidRPr="004824C1">
        <w:rPr>
          <w:rStyle w:val="Emphasis"/>
          <w:rFonts w:eastAsia="Times New Roman" w:cstheme="minorHAnsi"/>
          <w:i w:val="0"/>
          <w:iCs w:val="0"/>
        </w:rPr>
        <w:t>scalation clause in fee proposals, subject to CoC approval.</w:t>
      </w:r>
    </w:p>
    <w:p w14:paraId="6321811A" w14:textId="1F6E2A0D" w:rsidR="00981E86" w:rsidRPr="004824C1" w:rsidRDefault="00981E86" w:rsidP="004824C1">
      <w:pPr>
        <w:numPr>
          <w:ilvl w:val="0"/>
          <w:numId w:val="60"/>
        </w:numPr>
        <w:spacing w:after="0" w:afterAutospacing="1" w:line="276" w:lineRule="auto"/>
        <w:ind w:left="993" w:hanging="284"/>
        <w:jc w:val="both"/>
        <w:rPr>
          <w:rFonts w:eastAsia="Times New Roman" w:cstheme="minorHAnsi"/>
        </w:rPr>
      </w:pPr>
      <w:r w:rsidRPr="004824C1">
        <w:rPr>
          <w:rStyle w:val="Strong"/>
          <w:rFonts w:eastAsia="Times New Roman" w:cstheme="minorHAnsi"/>
        </w:rPr>
        <w:t>Standardized Fee Templates for Common Tasks</w:t>
      </w:r>
      <w:r w:rsidRPr="004824C1">
        <w:rPr>
          <w:rFonts w:eastAsia="Times New Roman" w:cstheme="minorHAnsi"/>
        </w:rPr>
        <w:t xml:space="preserve">: </w:t>
      </w:r>
      <w:r w:rsidRPr="004824C1">
        <w:rPr>
          <w:rStyle w:val="Emphasis"/>
          <w:rFonts w:eastAsia="Times New Roman" w:cstheme="minorHAnsi"/>
          <w:i w:val="0"/>
          <w:iCs w:val="0"/>
        </w:rPr>
        <w:t>IBBI or IPAs may publish model fee templates for routine tasks (e.g., claim verification, asset sale, compliance filings) to guide CoCs and reduce negotiation friction.</w:t>
      </w:r>
    </w:p>
    <w:p w14:paraId="44206201" w14:textId="3F00D7F3" w:rsidR="006527C3" w:rsidRDefault="00981E86" w:rsidP="004824C1">
      <w:pPr>
        <w:numPr>
          <w:ilvl w:val="0"/>
          <w:numId w:val="60"/>
        </w:numPr>
        <w:spacing w:after="0" w:afterAutospacing="1" w:line="276" w:lineRule="auto"/>
        <w:ind w:left="993" w:hanging="284"/>
        <w:jc w:val="both"/>
        <w:rPr>
          <w:rFonts w:ascii="Calibri" w:hAnsi="Calibri" w:cs="Calibri"/>
        </w:rPr>
      </w:pPr>
      <w:r w:rsidRPr="00B331B9">
        <w:rPr>
          <w:rStyle w:val="Strong"/>
          <w:rFonts w:eastAsia="Times New Roman" w:cstheme="minorHAnsi"/>
        </w:rPr>
        <w:t>Incentives for Timely Resolution</w:t>
      </w:r>
      <w:r w:rsidRPr="00B331B9">
        <w:rPr>
          <w:rFonts w:eastAsia="Times New Roman" w:cstheme="minorHAnsi"/>
        </w:rPr>
        <w:t xml:space="preserve">: </w:t>
      </w:r>
      <w:r w:rsidRPr="00B331B9">
        <w:rPr>
          <w:rStyle w:val="Emphasis"/>
          <w:rFonts w:eastAsia="Times New Roman" w:cstheme="minorHAnsi"/>
          <w:i w:val="0"/>
          <w:iCs w:val="0"/>
        </w:rPr>
        <w:t>Allow IPs</w:t>
      </w:r>
      <w:r>
        <w:rPr>
          <w:rStyle w:val="Emphasis"/>
          <w:rFonts w:eastAsia="Times New Roman" w:cstheme="minorHAnsi"/>
          <w:i w:val="0"/>
          <w:iCs w:val="0"/>
        </w:rPr>
        <w:t xml:space="preserve">, on mandatory basis (rather than directory basis as present) </w:t>
      </w:r>
      <w:r w:rsidRPr="00B331B9">
        <w:rPr>
          <w:rStyle w:val="Emphasis"/>
          <w:rFonts w:eastAsia="Times New Roman" w:cstheme="minorHAnsi"/>
          <w:i w:val="0"/>
          <w:iCs w:val="0"/>
        </w:rPr>
        <w:t>performance-linked incentives for achieving resolution within prescribed timelines.</w:t>
      </w:r>
    </w:p>
    <w:p w14:paraId="5E3EA976" w14:textId="77777777" w:rsidR="006527C3" w:rsidRDefault="006527C3" w:rsidP="00D65BC5">
      <w:pPr>
        <w:spacing w:line="276" w:lineRule="auto"/>
        <w:jc w:val="both"/>
        <w:rPr>
          <w:rFonts w:ascii="Calibri" w:hAnsi="Calibri" w:cs="Calibri"/>
        </w:rPr>
      </w:pPr>
    </w:p>
    <w:p w14:paraId="73A63E8D" w14:textId="77777777" w:rsidR="00D14F96" w:rsidRDefault="00D14F96" w:rsidP="00D65BC5">
      <w:pPr>
        <w:spacing w:line="276" w:lineRule="auto"/>
        <w:jc w:val="both"/>
        <w:rPr>
          <w:rFonts w:ascii="Calibri" w:hAnsi="Calibri" w:cs="Calibri"/>
        </w:rPr>
      </w:pPr>
    </w:p>
    <w:p w14:paraId="51FDDA9F" w14:textId="77777777" w:rsidR="00D14F96" w:rsidRDefault="00D14F96" w:rsidP="00D65BC5">
      <w:pPr>
        <w:spacing w:line="276" w:lineRule="auto"/>
        <w:jc w:val="both"/>
        <w:rPr>
          <w:rFonts w:ascii="Calibri" w:hAnsi="Calibri" w:cs="Calibri"/>
        </w:rPr>
      </w:pPr>
    </w:p>
    <w:p w14:paraId="5CA266B9" w14:textId="4CD7DB68" w:rsidR="005F3713" w:rsidRPr="00232921" w:rsidRDefault="005F3713" w:rsidP="00232921">
      <w:pPr>
        <w:pStyle w:val="Heading1"/>
        <w:numPr>
          <w:ilvl w:val="0"/>
          <w:numId w:val="13"/>
        </w:numPr>
        <w:tabs>
          <w:tab w:val="num" w:pos="360"/>
        </w:tabs>
        <w:ind w:left="0" w:firstLine="0"/>
        <w:rPr>
          <w:sz w:val="36"/>
          <w:szCs w:val="36"/>
        </w:rPr>
      </w:pPr>
      <w:bookmarkStart w:id="5" w:name="_Hlk216972918"/>
      <w:bookmarkStart w:id="6" w:name="_Toc217034388"/>
      <w:r w:rsidRPr="00232921">
        <w:rPr>
          <w:sz w:val="36"/>
          <w:szCs w:val="36"/>
        </w:rPr>
        <w:lastRenderedPageBreak/>
        <w:t xml:space="preserve">Other </w:t>
      </w:r>
      <w:r w:rsidR="00D14F96">
        <w:rPr>
          <w:sz w:val="36"/>
          <w:szCs w:val="36"/>
        </w:rPr>
        <w:t>Related</w:t>
      </w:r>
      <w:r w:rsidRPr="00232921">
        <w:rPr>
          <w:sz w:val="36"/>
          <w:szCs w:val="36"/>
        </w:rPr>
        <w:t xml:space="preserve"> Issues</w:t>
      </w:r>
      <w:bookmarkEnd w:id="6"/>
      <w:r w:rsidRPr="00232921">
        <w:rPr>
          <w:sz w:val="36"/>
          <w:szCs w:val="36"/>
        </w:rPr>
        <w:t xml:space="preserve"> </w:t>
      </w:r>
    </w:p>
    <w:bookmarkEnd w:id="5"/>
    <w:p w14:paraId="07A6310C" w14:textId="77777777" w:rsidR="005F3713" w:rsidRDefault="005F3713" w:rsidP="005F3713">
      <w:pPr>
        <w:pStyle w:val="ListParagraph"/>
        <w:spacing w:line="276" w:lineRule="auto"/>
        <w:jc w:val="both"/>
        <w:rPr>
          <w:rFonts w:ascii="Calibri" w:hAnsi="Calibri" w:cs="Calibri"/>
          <w:b/>
          <w:bCs/>
        </w:rPr>
      </w:pPr>
    </w:p>
    <w:p w14:paraId="144FE179" w14:textId="0B01FBEE" w:rsidR="00807E72" w:rsidRPr="000B37C8" w:rsidRDefault="00807E72" w:rsidP="005F5507">
      <w:pPr>
        <w:pStyle w:val="ListParagraph"/>
        <w:numPr>
          <w:ilvl w:val="0"/>
          <w:numId w:val="62"/>
        </w:numPr>
        <w:spacing w:line="276" w:lineRule="auto"/>
        <w:jc w:val="both"/>
        <w:rPr>
          <w:b/>
          <w:bCs/>
        </w:rPr>
      </w:pPr>
      <w:r w:rsidRPr="000B37C8">
        <w:rPr>
          <w:b/>
          <w:bCs/>
        </w:rPr>
        <w:t>Introduction of Best Practices in a structured manner</w:t>
      </w:r>
    </w:p>
    <w:p w14:paraId="7166163D" w14:textId="7AE765B2" w:rsidR="00807E72" w:rsidRDefault="00807E72" w:rsidP="000B37C8">
      <w:pPr>
        <w:ind w:left="709"/>
        <w:jc w:val="both"/>
        <w:rPr>
          <w:rFonts w:ascii="Times New Roman" w:hAnsi="Times New Roman"/>
          <w:color w:val="000000"/>
        </w:rPr>
      </w:pPr>
      <w:r>
        <w:rPr>
          <w:rFonts w:ascii="Times New Roman" w:hAnsi="Times New Roman"/>
          <w:color w:val="000000"/>
        </w:rPr>
        <w:t>I</w:t>
      </w:r>
      <w:r w:rsidRPr="00807E72">
        <w:rPr>
          <w:rFonts w:ascii="Times New Roman" w:hAnsi="Times New Roman"/>
          <w:color w:val="000000"/>
        </w:rPr>
        <w:t>t is often observed that various Professionals are following differing practices with respect to various activities being performed under the Code.</w:t>
      </w:r>
      <w:r>
        <w:rPr>
          <w:rFonts w:ascii="Times New Roman" w:hAnsi="Times New Roman"/>
          <w:color w:val="000000"/>
        </w:rPr>
        <w:t xml:space="preserve">   M</w:t>
      </w:r>
      <w:r w:rsidRPr="0009131A">
        <w:rPr>
          <w:rFonts w:ascii="Times New Roman" w:hAnsi="Times New Roman"/>
          <w:color w:val="000000"/>
        </w:rPr>
        <w:t xml:space="preserve">arket practices </w:t>
      </w:r>
      <w:r>
        <w:rPr>
          <w:rFonts w:ascii="Times New Roman" w:hAnsi="Times New Roman"/>
          <w:color w:val="000000"/>
        </w:rPr>
        <w:t xml:space="preserve">around the grey areas </w:t>
      </w:r>
      <w:r w:rsidRPr="0009131A">
        <w:rPr>
          <w:rFonts w:ascii="Times New Roman" w:hAnsi="Times New Roman"/>
          <w:color w:val="000000"/>
        </w:rPr>
        <w:t xml:space="preserve">have evolved </w:t>
      </w:r>
      <w:r>
        <w:rPr>
          <w:rFonts w:ascii="Times New Roman" w:hAnsi="Times New Roman"/>
          <w:color w:val="000000"/>
        </w:rPr>
        <w:t xml:space="preserve">over the time.  Though every assignment is unique, the practices </w:t>
      </w:r>
      <w:r w:rsidRPr="0009131A">
        <w:rPr>
          <w:rFonts w:ascii="Times New Roman" w:hAnsi="Times New Roman"/>
          <w:color w:val="000000"/>
        </w:rPr>
        <w:t xml:space="preserve">may be formalized </w:t>
      </w:r>
      <w:r>
        <w:rPr>
          <w:rFonts w:ascii="Times New Roman" w:hAnsi="Times New Roman"/>
          <w:color w:val="000000"/>
        </w:rPr>
        <w:t xml:space="preserve">to the extent </w:t>
      </w:r>
      <w:r w:rsidR="0084373D">
        <w:rPr>
          <w:rFonts w:ascii="Times New Roman" w:hAnsi="Times New Roman"/>
          <w:color w:val="000000"/>
        </w:rPr>
        <w:t xml:space="preserve">possible and in a broad context, </w:t>
      </w:r>
      <w:r w:rsidRPr="0009131A">
        <w:rPr>
          <w:rFonts w:ascii="Times New Roman" w:hAnsi="Times New Roman"/>
          <w:color w:val="000000"/>
        </w:rPr>
        <w:t xml:space="preserve">to ensure capacity building and harmonizing the practices </w:t>
      </w:r>
      <w:r>
        <w:rPr>
          <w:rFonts w:ascii="Times New Roman" w:hAnsi="Times New Roman"/>
          <w:color w:val="000000"/>
        </w:rPr>
        <w:t>across the Board</w:t>
      </w:r>
      <w:r w:rsidRPr="0009131A">
        <w:rPr>
          <w:rFonts w:ascii="Times New Roman" w:hAnsi="Times New Roman"/>
          <w:color w:val="000000"/>
        </w:rPr>
        <w:t xml:space="preserve">. </w:t>
      </w:r>
      <w:r>
        <w:rPr>
          <w:rFonts w:ascii="Times New Roman" w:hAnsi="Times New Roman"/>
          <w:color w:val="000000"/>
        </w:rPr>
        <w:t xml:space="preserve"> </w:t>
      </w:r>
      <w:r w:rsidRPr="00807E72">
        <w:rPr>
          <w:rFonts w:ascii="Times New Roman" w:hAnsi="Times New Roman"/>
          <w:color w:val="000000"/>
        </w:rPr>
        <w:t>For instance, in UK, insolvency practitioners must adhere to standards called Statements of Insolvency Practice (SIPs), in addition to complying with relevant legislation and a Code of Ethics.</w:t>
      </w:r>
      <w:r w:rsidR="0084373D">
        <w:rPr>
          <w:rFonts w:ascii="Times New Roman" w:hAnsi="Times New Roman"/>
          <w:color w:val="000000"/>
        </w:rPr>
        <w:t xml:space="preserve">   For the purpose, a committee </w:t>
      </w:r>
      <w:r w:rsidR="0078641D">
        <w:rPr>
          <w:rFonts w:ascii="Times New Roman" w:hAnsi="Times New Roman"/>
          <w:color w:val="000000"/>
        </w:rPr>
        <w:t xml:space="preserve">under aegis of </w:t>
      </w:r>
      <w:r w:rsidR="0084373D">
        <w:rPr>
          <w:rFonts w:ascii="Times New Roman" w:hAnsi="Times New Roman"/>
          <w:color w:val="000000"/>
        </w:rPr>
        <w:t xml:space="preserve">IBBI </w:t>
      </w:r>
      <w:r w:rsidR="0078641D">
        <w:rPr>
          <w:rFonts w:ascii="Times New Roman" w:hAnsi="Times New Roman"/>
          <w:color w:val="000000"/>
        </w:rPr>
        <w:t xml:space="preserve">with nominated members from IBBI, IPAs and </w:t>
      </w:r>
      <w:r w:rsidR="0084373D">
        <w:rPr>
          <w:rFonts w:ascii="Times New Roman" w:hAnsi="Times New Roman"/>
          <w:color w:val="000000"/>
        </w:rPr>
        <w:t xml:space="preserve">market experts, may be assigned the task of notifying such best practices.   </w:t>
      </w:r>
    </w:p>
    <w:p w14:paraId="32368F70" w14:textId="77777777" w:rsidR="0084373D" w:rsidRPr="0009131A" w:rsidRDefault="0084373D" w:rsidP="000B37C8">
      <w:pPr>
        <w:ind w:left="709"/>
        <w:jc w:val="both"/>
      </w:pPr>
      <w:r w:rsidRPr="0084373D">
        <w:rPr>
          <w:rFonts w:ascii="Times New Roman" w:hAnsi="Times New Roman"/>
          <w:color w:val="000000"/>
        </w:rPr>
        <w:t>Initially</w:t>
      </w:r>
      <w:r w:rsidRPr="0009131A">
        <w:t>, these standards could be advisory, allowing professionals time to familiarize themselves with the guidelines. In a subsequent phase, they could be made mandatory.</w:t>
      </w:r>
    </w:p>
    <w:p w14:paraId="3CF43506" w14:textId="77777777" w:rsidR="00807E72" w:rsidRDefault="00807E72" w:rsidP="00807E72">
      <w:pPr>
        <w:pStyle w:val="ListParagraph"/>
        <w:spacing w:line="276" w:lineRule="auto"/>
        <w:jc w:val="both"/>
        <w:rPr>
          <w:rFonts w:ascii="Calibri" w:hAnsi="Calibri" w:cs="Calibri"/>
          <w:i/>
          <w:iCs/>
        </w:rPr>
      </w:pPr>
    </w:p>
    <w:p w14:paraId="0AECBC7E" w14:textId="7FA2EDC2" w:rsidR="00D65BC5" w:rsidRPr="000B37C8" w:rsidRDefault="00D65BC5" w:rsidP="005F5507">
      <w:pPr>
        <w:pStyle w:val="ListParagraph"/>
        <w:numPr>
          <w:ilvl w:val="0"/>
          <w:numId w:val="62"/>
        </w:numPr>
        <w:spacing w:line="276" w:lineRule="auto"/>
        <w:jc w:val="both"/>
        <w:rPr>
          <w:b/>
          <w:bCs/>
        </w:rPr>
      </w:pPr>
      <w:r w:rsidRPr="000B37C8">
        <w:rPr>
          <w:b/>
          <w:bCs/>
        </w:rPr>
        <w:t xml:space="preserve">Regulation 31A- “Regulatory Fee” of the CIRP Regulations to be </w:t>
      </w:r>
      <w:r w:rsidR="008C6C6F" w:rsidRPr="000B37C8">
        <w:rPr>
          <w:b/>
          <w:bCs/>
        </w:rPr>
        <w:t>clarified</w:t>
      </w:r>
      <w:r w:rsidRPr="000B37C8">
        <w:rPr>
          <w:b/>
          <w:bCs/>
        </w:rPr>
        <w:t xml:space="preserve"> </w:t>
      </w:r>
    </w:p>
    <w:p w14:paraId="3707D8B5" w14:textId="01688ECC" w:rsidR="00D65BC5" w:rsidRPr="00CF7130" w:rsidRDefault="00D65BC5" w:rsidP="000B37C8">
      <w:pPr>
        <w:spacing w:line="276" w:lineRule="auto"/>
        <w:ind w:left="720"/>
        <w:jc w:val="both"/>
        <w:rPr>
          <w:rFonts w:ascii="Calibri" w:hAnsi="Calibri" w:cs="Calibri"/>
          <w:lang w:val="en-US"/>
        </w:rPr>
      </w:pPr>
      <w:r w:rsidRPr="00CF7130">
        <w:rPr>
          <w:rFonts w:ascii="Calibri" w:hAnsi="Calibri" w:cs="Calibri"/>
          <w:lang w:val="en-US"/>
        </w:rPr>
        <w:t xml:space="preserve">Compliance of the </w:t>
      </w:r>
      <w:r w:rsidR="005F3713">
        <w:rPr>
          <w:rFonts w:ascii="Calibri" w:hAnsi="Calibri" w:cs="Calibri"/>
          <w:lang w:val="en-US"/>
        </w:rPr>
        <w:t>R</w:t>
      </w:r>
      <w:r w:rsidRPr="00CF7130">
        <w:rPr>
          <w:rFonts w:ascii="Calibri" w:hAnsi="Calibri" w:cs="Calibri"/>
          <w:lang w:val="en-US"/>
        </w:rPr>
        <w:t xml:space="preserve">egulation </w:t>
      </w:r>
      <w:r w:rsidR="005F3713">
        <w:rPr>
          <w:rFonts w:ascii="Calibri" w:hAnsi="Calibri" w:cs="Calibri"/>
          <w:lang w:val="en-US"/>
        </w:rPr>
        <w:t xml:space="preserve">31 A </w:t>
      </w:r>
      <w:r w:rsidR="008C6C6F">
        <w:rPr>
          <w:rFonts w:ascii="Calibri" w:hAnsi="Calibri" w:cs="Calibri"/>
          <w:lang w:val="en-US"/>
        </w:rPr>
        <w:t xml:space="preserve">becomes an issue as RPs are required to deposit the regulatory fee (1%) with IBBI in respect of remuneration payable to other professionals, even though funds are yet to be released and paid to such professionals.   RPs may have to pay such regulatory fee out of their funds, to fulfill the compliance requirement.     </w:t>
      </w:r>
    </w:p>
    <w:p w14:paraId="4112EABC" w14:textId="43209AEE" w:rsidR="00D65BC5" w:rsidRPr="00CF7130" w:rsidRDefault="008C6C6F" w:rsidP="000B37C8">
      <w:pPr>
        <w:spacing w:line="276" w:lineRule="auto"/>
        <w:ind w:left="720"/>
        <w:jc w:val="both"/>
        <w:rPr>
          <w:rFonts w:ascii="Calibri" w:hAnsi="Calibri" w:cs="Calibri"/>
          <w:lang w:val="en-US"/>
        </w:rPr>
      </w:pPr>
      <w:r>
        <w:rPr>
          <w:rFonts w:ascii="Calibri" w:hAnsi="Calibri" w:cs="Calibri"/>
          <w:lang w:val="en-US"/>
        </w:rPr>
        <w:t>It may be clarified that regulatory fee should be payable to the Regulator (</w:t>
      </w:r>
      <w:r w:rsidR="00D65BC5" w:rsidRPr="00CF7130">
        <w:rPr>
          <w:rFonts w:ascii="Calibri" w:hAnsi="Calibri" w:cs="Calibri"/>
          <w:lang w:val="en-US"/>
        </w:rPr>
        <w:t>IBBI</w:t>
      </w:r>
      <w:r>
        <w:rPr>
          <w:rFonts w:ascii="Calibri" w:hAnsi="Calibri" w:cs="Calibri"/>
          <w:lang w:val="en-US"/>
        </w:rPr>
        <w:t xml:space="preserve">) only upon actual remittance rather than merely on accrual thereof.  </w:t>
      </w:r>
    </w:p>
    <w:p w14:paraId="209442BB" w14:textId="7E4534C5" w:rsidR="00D65BC5" w:rsidRPr="005F3713" w:rsidRDefault="00DB00E0" w:rsidP="00D24AA8">
      <w:pPr>
        <w:pStyle w:val="ListParagraph"/>
        <w:numPr>
          <w:ilvl w:val="0"/>
          <w:numId w:val="6"/>
        </w:numPr>
        <w:spacing w:line="276" w:lineRule="auto"/>
        <w:jc w:val="both"/>
        <w:rPr>
          <w:rFonts w:ascii="Calibri" w:hAnsi="Calibri" w:cs="Calibri"/>
          <w:i/>
          <w:iCs/>
          <w:lang w:val="en-US"/>
        </w:rPr>
      </w:pPr>
      <w:r w:rsidRPr="005F3713">
        <w:rPr>
          <w:rFonts w:ascii="Calibri" w:hAnsi="Calibri" w:cs="Calibri"/>
          <w:i/>
          <w:iCs/>
          <w:lang w:val="en-US"/>
        </w:rPr>
        <w:t>Clarification on f</w:t>
      </w:r>
      <w:r w:rsidR="00D65BC5" w:rsidRPr="005F3713">
        <w:rPr>
          <w:rFonts w:ascii="Calibri" w:hAnsi="Calibri" w:cs="Calibri"/>
          <w:i/>
          <w:iCs/>
          <w:lang w:val="en-US"/>
        </w:rPr>
        <w:t xml:space="preserve">ees payable to </w:t>
      </w:r>
      <w:r w:rsidR="002C4683" w:rsidRPr="005F3713">
        <w:rPr>
          <w:rFonts w:ascii="Calibri" w:hAnsi="Calibri" w:cs="Calibri"/>
          <w:i/>
          <w:iCs/>
          <w:lang w:val="en-US"/>
        </w:rPr>
        <w:t>R</w:t>
      </w:r>
      <w:r w:rsidR="00D65BC5" w:rsidRPr="005F3713">
        <w:rPr>
          <w:rFonts w:ascii="Calibri" w:hAnsi="Calibri" w:cs="Calibri"/>
          <w:i/>
          <w:iCs/>
          <w:lang w:val="en-US"/>
        </w:rPr>
        <w:t>Ps during stay period/ application for Resolution/ Liquidation is pending</w:t>
      </w:r>
    </w:p>
    <w:p w14:paraId="25D2C67A" w14:textId="77777777" w:rsidR="005F3713" w:rsidRDefault="00D65BC5" w:rsidP="000B37C8">
      <w:pPr>
        <w:spacing w:line="276" w:lineRule="auto"/>
        <w:ind w:left="720"/>
        <w:jc w:val="both"/>
        <w:rPr>
          <w:rFonts w:ascii="Calibri" w:hAnsi="Calibri" w:cs="Calibri"/>
          <w:lang w:val="en-US"/>
        </w:rPr>
      </w:pPr>
      <w:r w:rsidRPr="00CF7130">
        <w:rPr>
          <w:rFonts w:ascii="Calibri" w:hAnsi="Calibri" w:cs="Calibri"/>
          <w:lang w:val="en-US"/>
        </w:rPr>
        <w:t xml:space="preserve">The CoC normally does not </w:t>
      </w:r>
      <w:r w:rsidR="002C4683">
        <w:rPr>
          <w:rFonts w:ascii="Calibri" w:hAnsi="Calibri" w:cs="Calibri"/>
          <w:lang w:val="en-US"/>
        </w:rPr>
        <w:t>approve/</w:t>
      </w:r>
      <w:r w:rsidRPr="00CF7130">
        <w:rPr>
          <w:rFonts w:ascii="Calibri" w:hAnsi="Calibri" w:cs="Calibri"/>
          <w:lang w:val="en-US"/>
        </w:rPr>
        <w:t xml:space="preserve">pay the fees to the </w:t>
      </w:r>
      <w:r w:rsidR="002C4683">
        <w:rPr>
          <w:rFonts w:ascii="Calibri" w:hAnsi="Calibri" w:cs="Calibri"/>
          <w:lang w:val="en-US"/>
        </w:rPr>
        <w:t>RP/Liquidator</w:t>
      </w:r>
      <w:r w:rsidRPr="00CF7130">
        <w:rPr>
          <w:rFonts w:ascii="Calibri" w:hAnsi="Calibri" w:cs="Calibri"/>
          <w:lang w:val="en-US"/>
        </w:rPr>
        <w:t xml:space="preserve"> </w:t>
      </w:r>
      <w:r w:rsidR="00DB00E0">
        <w:rPr>
          <w:rFonts w:ascii="Calibri" w:hAnsi="Calibri" w:cs="Calibri"/>
          <w:lang w:val="en-US"/>
        </w:rPr>
        <w:t xml:space="preserve">(i) </w:t>
      </w:r>
      <w:r w:rsidRPr="00CF7130">
        <w:rPr>
          <w:rFonts w:ascii="Calibri" w:hAnsi="Calibri" w:cs="Calibri"/>
          <w:lang w:val="en-US"/>
        </w:rPr>
        <w:t xml:space="preserve">during the period of stay to the CIRP process or </w:t>
      </w:r>
      <w:r w:rsidR="00DB00E0">
        <w:rPr>
          <w:rFonts w:ascii="Calibri" w:hAnsi="Calibri" w:cs="Calibri"/>
          <w:lang w:val="en-US"/>
        </w:rPr>
        <w:t xml:space="preserve">(ii) </w:t>
      </w:r>
      <w:r w:rsidRPr="00CF7130">
        <w:rPr>
          <w:rFonts w:ascii="Calibri" w:hAnsi="Calibri" w:cs="Calibri"/>
          <w:lang w:val="en-US"/>
        </w:rPr>
        <w:t>after an application for Resolution/ Liquidation is filed</w:t>
      </w:r>
      <w:r w:rsidR="002C4683">
        <w:rPr>
          <w:rFonts w:ascii="Calibri" w:hAnsi="Calibri" w:cs="Calibri"/>
          <w:lang w:val="en-US"/>
        </w:rPr>
        <w:t>.   Sometimes, a lump sum amount is paid irrespective of the underlying time involved. H</w:t>
      </w:r>
      <w:r w:rsidRPr="00CF7130">
        <w:rPr>
          <w:rFonts w:ascii="Calibri" w:hAnsi="Calibri" w:cs="Calibri"/>
          <w:lang w:val="en-US"/>
        </w:rPr>
        <w:t>owever</w:t>
      </w:r>
      <w:r w:rsidR="002C4683">
        <w:rPr>
          <w:rFonts w:ascii="Calibri" w:hAnsi="Calibri" w:cs="Calibri"/>
          <w:lang w:val="en-US"/>
        </w:rPr>
        <w:t>,</w:t>
      </w:r>
      <w:r w:rsidRPr="00CF7130">
        <w:rPr>
          <w:rFonts w:ascii="Calibri" w:hAnsi="Calibri" w:cs="Calibri"/>
          <w:lang w:val="en-US"/>
        </w:rPr>
        <w:t xml:space="preserve"> </w:t>
      </w:r>
      <w:r w:rsidR="002C4683">
        <w:rPr>
          <w:rFonts w:ascii="Calibri" w:hAnsi="Calibri" w:cs="Calibri"/>
          <w:lang w:val="en-US"/>
        </w:rPr>
        <w:t>R</w:t>
      </w:r>
      <w:r w:rsidRPr="00CF7130">
        <w:rPr>
          <w:rFonts w:ascii="Calibri" w:hAnsi="Calibri" w:cs="Calibri"/>
          <w:lang w:val="en-US"/>
        </w:rPr>
        <w:t>Ps are fully responsible for all the duties cast on him under the law</w:t>
      </w:r>
      <w:r w:rsidR="002C4683">
        <w:rPr>
          <w:rFonts w:ascii="Calibri" w:hAnsi="Calibri" w:cs="Calibri"/>
          <w:lang w:val="en-US"/>
        </w:rPr>
        <w:t xml:space="preserve"> even during such period</w:t>
      </w:r>
      <w:r w:rsidRPr="00CF7130">
        <w:rPr>
          <w:rFonts w:ascii="Calibri" w:hAnsi="Calibri" w:cs="Calibri"/>
          <w:lang w:val="en-US"/>
        </w:rPr>
        <w:t xml:space="preserve">. The problem </w:t>
      </w:r>
      <w:r w:rsidR="002C4683">
        <w:rPr>
          <w:rFonts w:ascii="Calibri" w:hAnsi="Calibri" w:cs="Calibri"/>
          <w:lang w:val="en-US"/>
        </w:rPr>
        <w:t>is</w:t>
      </w:r>
      <w:r w:rsidRPr="00CF7130">
        <w:rPr>
          <w:rFonts w:ascii="Calibri" w:hAnsi="Calibri" w:cs="Calibri"/>
          <w:lang w:val="en-US"/>
        </w:rPr>
        <w:t xml:space="preserve"> further compounded  by the provisions of Regulation 34B of the CIRP Regulations which states that the minimum fees payable to the IPs</w:t>
      </w:r>
      <w:r w:rsidR="002C4683">
        <w:rPr>
          <w:rFonts w:ascii="Calibri" w:hAnsi="Calibri" w:cs="Calibri"/>
          <w:lang w:val="en-US"/>
        </w:rPr>
        <w:t xml:space="preserve"> is</w:t>
      </w:r>
      <w:r w:rsidRPr="00CF7130">
        <w:rPr>
          <w:rFonts w:ascii="Calibri" w:hAnsi="Calibri" w:cs="Calibri"/>
          <w:lang w:val="en-US"/>
        </w:rPr>
        <w:t xml:space="preserve"> applicable only for the period upto submission of (a) application for approval of resolution plan under section 30;  (b) submission of application to liquidate the corporate debtor under section 33; (c) submission of application for withdrawal under section 12A; or (d) order for closure of corporate insolvency resolution process, whichever is earlier.</w:t>
      </w:r>
    </w:p>
    <w:p w14:paraId="3CB8BDAA" w14:textId="0C7DE48E" w:rsidR="00D65BC5" w:rsidRDefault="00D65BC5" w:rsidP="000B37C8">
      <w:pPr>
        <w:spacing w:line="276" w:lineRule="auto"/>
        <w:ind w:left="720"/>
        <w:jc w:val="both"/>
        <w:rPr>
          <w:rFonts w:ascii="Calibri" w:hAnsi="Calibri" w:cs="Calibri"/>
          <w:lang w:val="en-US"/>
        </w:rPr>
      </w:pPr>
      <w:r w:rsidRPr="00CF7130">
        <w:rPr>
          <w:rFonts w:ascii="Calibri" w:hAnsi="Calibri" w:cs="Calibri"/>
          <w:lang w:val="en-US"/>
        </w:rPr>
        <w:lastRenderedPageBreak/>
        <w:t xml:space="preserve">The Regulations should provide for </w:t>
      </w:r>
      <w:r w:rsidR="002C4683">
        <w:rPr>
          <w:rFonts w:ascii="Calibri" w:hAnsi="Calibri" w:cs="Calibri"/>
          <w:lang w:val="en-US"/>
        </w:rPr>
        <w:t xml:space="preserve">time-linked </w:t>
      </w:r>
      <w:r w:rsidRPr="00CF7130">
        <w:rPr>
          <w:rFonts w:ascii="Calibri" w:hAnsi="Calibri" w:cs="Calibri"/>
          <w:lang w:val="en-US"/>
        </w:rPr>
        <w:t>payment of fees without any discrimination till the CIRP process is on</w:t>
      </w:r>
      <w:r w:rsidR="002C4683">
        <w:rPr>
          <w:rFonts w:ascii="Calibri" w:hAnsi="Calibri" w:cs="Calibri"/>
          <w:lang w:val="en-US"/>
        </w:rPr>
        <w:t xml:space="preserve">, including </w:t>
      </w:r>
      <w:r w:rsidRPr="00CF7130">
        <w:rPr>
          <w:rFonts w:ascii="Calibri" w:hAnsi="Calibri" w:cs="Calibri"/>
          <w:lang w:val="en-US"/>
        </w:rPr>
        <w:t>during the stay period imposed by any court</w:t>
      </w:r>
      <w:r w:rsidR="002C4683">
        <w:rPr>
          <w:rFonts w:ascii="Calibri" w:hAnsi="Calibri" w:cs="Calibri"/>
          <w:lang w:val="en-US"/>
        </w:rPr>
        <w:t xml:space="preserve"> when the responsibilities of RP/Liquidator are continuing</w:t>
      </w:r>
      <w:r w:rsidRPr="00CF7130">
        <w:rPr>
          <w:rFonts w:ascii="Calibri" w:hAnsi="Calibri" w:cs="Calibri"/>
          <w:lang w:val="en-US"/>
        </w:rPr>
        <w:t xml:space="preserve">. </w:t>
      </w:r>
    </w:p>
    <w:p w14:paraId="3B75F113" w14:textId="77777777" w:rsidR="00D65BC5" w:rsidRPr="00BC1252" w:rsidRDefault="00D65BC5" w:rsidP="005F5507">
      <w:pPr>
        <w:pStyle w:val="ListParagraph"/>
        <w:numPr>
          <w:ilvl w:val="0"/>
          <w:numId w:val="62"/>
        </w:numPr>
        <w:spacing w:line="276" w:lineRule="auto"/>
        <w:jc w:val="both"/>
        <w:rPr>
          <w:b/>
          <w:bCs/>
        </w:rPr>
      </w:pPr>
      <w:r w:rsidRPr="00BC1252">
        <w:rPr>
          <w:b/>
          <w:bCs/>
        </w:rPr>
        <w:t xml:space="preserve">AFAs are suspended upon initiation of any disciplinary action upon issuance of Show Cause Notice (SCN) by either IBBI or IPA, as per Clause 23A of Model Byelaws of IPAs specified under IBBI Regulations on the same.    </w:t>
      </w:r>
    </w:p>
    <w:p w14:paraId="2CF4E4CC" w14:textId="2D563920" w:rsidR="005E75D9" w:rsidRDefault="005E75D9" w:rsidP="00BC1252">
      <w:pPr>
        <w:spacing w:line="276" w:lineRule="auto"/>
        <w:ind w:left="720"/>
        <w:jc w:val="both"/>
        <w:rPr>
          <w:rFonts w:ascii="Calibri" w:hAnsi="Calibri" w:cs="Calibri"/>
          <w:lang w:val="en-US"/>
        </w:rPr>
      </w:pPr>
      <w:r>
        <w:rPr>
          <w:rFonts w:ascii="Calibri" w:hAnsi="Calibri" w:cs="Calibri"/>
          <w:lang w:val="en-US"/>
        </w:rPr>
        <w:t xml:space="preserve">Currently, the regulations provide for suspension of AFA merely upon issuance of Show Cause Notice (SCN) by the Disciplinary Committee of IBBI or IPA.   As the SCN may or may not result in adverse findings/orders, the pre-emptive suspension as such is tantamount to penalizing the professional without waiting for the outcome of the proceedings.   Further, drawing reference to the practice followed by parent profession of CA/CS/CMA, initiation of the DC proceedings thereunder does not trigger suspension of Certificate of Practice (CoP) which is like AFA. </w:t>
      </w:r>
    </w:p>
    <w:p w14:paraId="54CA9977" w14:textId="5388DE89" w:rsidR="00D65BC5" w:rsidRPr="00CF7130" w:rsidRDefault="005E75D9" w:rsidP="00BC1252">
      <w:pPr>
        <w:spacing w:line="276" w:lineRule="auto"/>
        <w:ind w:left="720"/>
        <w:jc w:val="both"/>
        <w:rPr>
          <w:rFonts w:ascii="Calibri" w:hAnsi="Calibri" w:cs="Calibri"/>
          <w:lang w:val="en-US"/>
        </w:rPr>
      </w:pPr>
      <w:r>
        <w:rPr>
          <w:rFonts w:ascii="Calibri" w:hAnsi="Calibri" w:cs="Calibri"/>
          <w:lang w:val="en-US"/>
        </w:rPr>
        <w:t xml:space="preserve">Following the </w:t>
      </w:r>
      <w:r w:rsidR="00D65BC5" w:rsidRPr="00CF7130">
        <w:rPr>
          <w:rFonts w:ascii="Calibri" w:hAnsi="Calibri" w:cs="Calibri"/>
          <w:lang w:val="en-US"/>
        </w:rPr>
        <w:t>principle</w:t>
      </w:r>
      <w:r>
        <w:rPr>
          <w:rFonts w:ascii="Calibri" w:hAnsi="Calibri" w:cs="Calibri"/>
          <w:lang w:val="en-US"/>
        </w:rPr>
        <w:t>s</w:t>
      </w:r>
      <w:r w:rsidR="00D65BC5" w:rsidRPr="00CF7130">
        <w:rPr>
          <w:rFonts w:ascii="Calibri" w:hAnsi="Calibri" w:cs="Calibri"/>
          <w:lang w:val="en-US"/>
        </w:rPr>
        <w:t xml:space="preserve"> of natural justice, the mere issue of SCN should not </w:t>
      </w:r>
      <w:r>
        <w:rPr>
          <w:rFonts w:ascii="Calibri" w:hAnsi="Calibri" w:cs="Calibri"/>
          <w:lang w:val="en-US"/>
        </w:rPr>
        <w:t xml:space="preserve">trigger </w:t>
      </w:r>
      <w:r w:rsidR="00D65BC5" w:rsidRPr="00CF7130">
        <w:rPr>
          <w:rFonts w:ascii="Calibri" w:hAnsi="Calibri" w:cs="Calibri"/>
          <w:lang w:val="en-US"/>
        </w:rPr>
        <w:t>suspen</w:t>
      </w:r>
      <w:r>
        <w:rPr>
          <w:rFonts w:ascii="Calibri" w:hAnsi="Calibri" w:cs="Calibri"/>
          <w:lang w:val="en-US"/>
        </w:rPr>
        <w:t>sion</w:t>
      </w:r>
      <w:r w:rsidR="00D65BC5" w:rsidRPr="00CF7130">
        <w:rPr>
          <w:rFonts w:ascii="Calibri" w:hAnsi="Calibri" w:cs="Calibri"/>
          <w:lang w:val="en-US"/>
        </w:rPr>
        <w:t xml:space="preserve"> </w:t>
      </w:r>
      <w:r>
        <w:rPr>
          <w:rFonts w:ascii="Calibri" w:hAnsi="Calibri" w:cs="Calibri"/>
          <w:lang w:val="en-US"/>
        </w:rPr>
        <w:t xml:space="preserve">of </w:t>
      </w:r>
      <w:r w:rsidR="00D65BC5" w:rsidRPr="00CF7130">
        <w:rPr>
          <w:rFonts w:ascii="Calibri" w:hAnsi="Calibri" w:cs="Calibri"/>
          <w:lang w:val="en-US"/>
        </w:rPr>
        <w:t>the AFA</w:t>
      </w:r>
      <w:r>
        <w:rPr>
          <w:rFonts w:ascii="Calibri" w:hAnsi="Calibri" w:cs="Calibri"/>
          <w:lang w:val="en-US"/>
        </w:rPr>
        <w:t>, unless proven guilty</w:t>
      </w:r>
      <w:r w:rsidR="00D65BC5" w:rsidRPr="00CF7130">
        <w:rPr>
          <w:rFonts w:ascii="Calibri" w:hAnsi="Calibri" w:cs="Calibri"/>
          <w:lang w:val="en-US"/>
        </w:rPr>
        <w:t>.</w:t>
      </w:r>
      <w:r>
        <w:rPr>
          <w:rFonts w:ascii="Calibri" w:hAnsi="Calibri" w:cs="Calibri"/>
          <w:lang w:val="en-US"/>
        </w:rPr>
        <w:t xml:space="preserve">   To balance the dispensation, the DC while issuing SCN, may be allowed to suspend AFA only in extreme/exceptional circumstances rather than as a rule.</w:t>
      </w:r>
      <w:r w:rsidR="00D65BC5" w:rsidRPr="00CF7130">
        <w:rPr>
          <w:rFonts w:ascii="Calibri" w:hAnsi="Calibri" w:cs="Calibri"/>
          <w:lang w:val="en-US"/>
        </w:rPr>
        <w:t xml:space="preserve"> </w:t>
      </w:r>
    </w:p>
    <w:p w14:paraId="601252AE" w14:textId="77777777" w:rsidR="00D65BC5" w:rsidRDefault="00D65BC5" w:rsidP="00D65BC5">
      <w:pPr>
        <w:pStyle w:val="ListParagraph"/>
        <w:spacing w:line="276" w:lineRule="auto"/>
        <w:jc w:val="both"/>
        <w:rPr>
          <w:rFonts w:ascii="Calibri" w:hAnsi="Calibri" w:cs="Calibri"/>
          <w:lang w:val="en-US"/>
        </w:rPr>
      </w:pPr>
    </w:p>
    <w:p w14:paraId="39FAD818" w14:textId="7B6C8810" w:rsidR="00D65BC5" w:rsidRPr="000B37C8" w:rsidRDefault="00D65BC5" w:rsidP="005F5507">
      <w:pPr>
        <w:pStyle w:val="ListParagraph"/>
        <w:numPr>
          <w:ilvl w:val="0"/>
          <w:numId w:val="62"/>
        </w:numPr>
        <w:spacing w:line="276" w:lineRule="auto"/>
        <w:jc w:val="both"/>
        <w:rPr>
          <w:b/>
          <w:bCs/>
        </w:rPr>
      </w:pPr>
      <w:r w:rsidRPr="000B37C8">
        <w:rPr>
          <w:b/>
          <w:bCs/>
        </w:rPr>
        <w:t xml:space="preserve">Pending CIRP Cost </w:t>
      </w:r>
      <w:r w:rsidR="00D24AA8" w:rsidRPr="000B37C8">
        <w:rPr>
          <w:b/>
          <w:bCs/>
        </w:rPr>
        <w:t>should</w:t>
      </w:r>
      <w:r w:rsidRPr="000B37C8">
        <w:rPr>
          <w:b/>
          <w:bCs/>
        </w:rPr>
        <w:t xml:space="preserve"> be paid prior to changing the IRP/RP </w:t>
      </w:r>
    </w:p>
    <w:p w14:paraId="17EE1220" w14:textId="77777777" w:rsidR="005F3713" w:rsidRDefault="005F3713" w:rsidP="00D65BC5">
      <w:pPr>
        <w:pStyle w:val="ListParagraph"/>
        <w:spacing w:line="276" w:lineRule="auto"/>
        <w:jc w:val="both"/>
        <w:rPr>
          <w:rFonts w:ascii="Calibri" w:hAnsi="Calibri" w:cs="Calibri"/>
          <w:lang w:val="en-US"/>
        </w:rPr>
      </w:pPr>
    </w:p>
    <w:p w14:paraId="4D52FC93" w14:textId="2214EDA8" w:rsidR="005E75D9" w:rsidRDefault="00D65BC5" w:rsidP="00D65BC5">
      <w:pPr>
        <w:pStyle w:val="ListParagraph"/>
        <w:spacing w:line="276" w:lineRule="auto"/>
        <w:jc w:val="both"/>
        <w:rPr>
          <w:rFonts w:ascii="Calibri" w:hAnsi="Calibri" w:cs="Calibri"/>
          <w:lang w:val="en-US"/>
        </w:rPr>
      </w:pPr>
      <w:r>
        <w:rPr>
          <w:rFonts w:ascii="Calibri" w:hAnsi="Calibri" w:cs="Calibri"/>
          <w:lang w:val="en-US"/>
        </w:rPr>
        <w:t>The CoC often changes the IRP/RP without payment of the outstanding CIRP</w:t>
      </w:r>
      <w:r w:rsidR="005E75D9">
        <w:rPr>
          <w:rFonts w:ascii="Calibri" w:hAnsi="Calibri" w:cs="Calibri"/>
          <w:lang w:val="en-US"/>
        </w:rPr>
        <w:t xml:space="preserve"> </w:t>
      </w:r>
      <w:r>
        <w:rPr>
          <w:rFonts w:ascii="Calibri" w:hAnsi="Calibri" w:cs="Calibri"/>
          <w:lang w:val="en-US"/>
        </w:rPr>
        <w:t xml:space="preserve">cost </w:t>
      </w:r>
      <w:r w:rsidR="005E75D9">
        <w:rPr>
          <w:rFonts w:ascii="Calibri" w:hAnsi="Calibri" w:cs="Calibri"/>
          <w:lang w:val="en-US"/>
        </w:rPr>
        <w:t xml:space="preserve">(including RP’s remuneration) </w:t>
      </w:r>
      <w:r>
        <w:rPr>
          <w:rFonts w:ascii="Calibri" w:hAnsi="Calibri" w:cs="Calibri"/>
          <w:lang w:val="en-US"/>
        </w:rPr>
        <w:t xml:space="preserve">already incurred/ approved by the CoC. </w:t>
      </w:r>
      <w:r w:rsidR="005E75D9">
        <w:rPr>
          <w:rFonts w:ascii="Calibri" w:hAnsi="Calibri" w:cs="Calibri"/>
          <w:lang w:val="en-US"/>
        </w:rPr>
        <w:t xml:space="preserve"> </w:t>
      </w:r>
      <w:r w:rsidR="000844C4">
        <w:rPr>
          <w:rFonts w:ascii="Calibri" w:hAnsi="Calibri" w:cs="Calibri"/>
          <w:lang w:val="en-US"/>
        </w:rPr>
        <w:t xml:space="preserve">This results in repetitive examination/efforts by incoming RP and consequent delays in clearing such payments. </w:t>
      </w:r>
    </w:p>
    <w:p w14:paraId="1D77DA19" w14:textId="77777777" w:rsidR="00DB3DA1" w:rsidRDefault="00DB3DA1" w:rsidP="00D65BC5">
      <w:pPr>
        <w:pStyle w:val="ListParagraph"/>
        <w:spacing w:line="276" w:lineRule="auto"/>
        <w:jc w:val="both"/>
        <w:rPr>
          <w:rFonts w:ascii="Calibri" w:hAnsi="Calibri" w:cs="Calibri"/>
          <w:b/>
          <w:bCs/>
          <w:lang w:val="en-US"/>
        </w:rPr>
      </w:pPr>
    </w:p>
    <w:p w14:paraId="6740E65C" w14:textId="5C950B66" w:rsidR="00D65BC5" w:rsidRPr="00CF7130" w:rsidRDefault="00D65BC5" w:rsidP="00D65BC5">
      <w:pPr>
        <w:pStyle w:val="ListParagraph"/>
        <w:spacing w:line="276" w:lineRule="auto"/>
        <w:jc w:val="both"/>
        <w:rPr>
          <w:rFonts w:ascii="Calibri" w:hAnsi="Calibri" w:cs="Calibri"/>
          <w:lang w:val="en-US"/>
        </w:rPr>
      </w:pPr>
      <w:r>
        <w:rPr>
          <w:rFonts w:ascii="Calibri" w:hAnsi="Calibri" w:cs="Calibri"/>
          <w:lang w:val="en-US"/>
        </w:rPr>
        <w:t xml:space="preserve">It </w:t>
      </w:r>
      <w:r w:rsidR="000844C4">
        <w:rPr>
          <w:rFonts w:ascii="Calibri" w:hAnsi="Calibri" w:cs="Calibri"/>
          <w:lang w:val="en-US"/>
        </w:rPr>
        <w:t xml:space="preserve">may be made </w:t>
      </w:r>
      <w:r>
        <w:rPr>
          <w:rFonts w:ascii="Calibri" w:hAnsi="Calibri" w:cs="Calibri"/>
          <w:lang w:val="en-US"/>
        </w:rPr>
        <w:t xml:space="preserve">mandatory for the CoC to pay the CIRP cost already incurred/ approved by the CoC before a change in IRP/RP is </w:t>
      </w:r>
      <w:r w:rsidR="005E75D9">
        <w:rPr>
          <w:rFonts w:ascii="Calibri" w:hAnsi="Calibri" w:cs="Calibri"/>
          <w:lang w:val="en-US"/>
        </w:rPr>
        <w:t>implemented</w:t>
      </w:r>
      <w:r>
        <w:rPr>
          <w:rFonts w:ascii="Calibri" w:hAnsi="Calibri" w:cs="Calibri"/>
          <w:lang w:val="en-US"/>
        </w:rPr>
        <w:t xml:space="preserve">. </w:t>
      </w:r>
    </w:p>
    <w:p w14:paraId="3FD248DD" w14:textId="77777777" w:rsidR="00D65BC5" w:rsidRPr="00CF7130" w:rsidRDefault="00D65BC5" w:rsidP="00D65BC5">
      <w:pPr>
        <w:pStyle w:val="ListParagraph"/>
        <w:spacing w:line="276" w:lineRule="auto"/>
        <w:jc w:val="both"/>
        <w:rPr>
          <w:rFonts w:ascii="Calibri" w:hAnsi="Calibri" w:cs="Calibri"/>
          <w:lang w:val="en-US"/>
        </w:rPr>
      </w:pPr>
    </w:p>
    <w:p w14:paraId="24C79AB4" w14:textId="1090FFAA" w:rsidR="00D65BC5" w:rsidRPr="005F3713" w:rsidRDefault="00D65BC5" w:rsidP="005F5507">
      <w:pPr>
        <w:pStyle w:val="ListParagraph"/>
        <w:numPr>
          <w:ilvl w:val="0"/>
          <w:numId w:val="62"/>
        </w:numPr>
        <w:spacing w:line="276" w:lineRule="auto"/>
        <w:jc w:val="both"/>
        <w:rPr>
          <w:rFonts w:ascii="Calibri" w:hAnsi="Calibri" w:cs="Calibri"/>
          <w:i/>
          <w:iCs/>
          <w:lang w:val="en-US"/>
        </w:rPr>
      </w:pPr>
      <w:r w:rsidRPr="000B37C8">
        <w:rPr>
          <w:b/>
          <w:bCs/>
        </w:rPr>
        <w:t xml:space="preserve">IBBI </w:t>
      </w:r>
      <w:r w:rsidR="000844C4" w:rsidRPr="000B37C8">
        <w:rPr>
          <w:b/>
          <w:bCs/>
        </w:rPr>
        <w:t>may review</w:t>
      </w:r>
      <w:r w:rsidRPr="000B37C8">
        <w:rPr>
          <w:b/>
          <w:bCs/>
        </w:rPr>
        <w:t xml:space="preserve"> its letter </w:t>
      </w:r>
      <w:r w:rsidR="000844C4" w:rsidRPr="000B37C8">
        <w:rPr>
          <w:b/>
          <w:bCs/>
        </w:rPr>
        <w:t>(ref.no.</w:t>
      </w:r>
      <w:r w:rsidRPr="000B37C8">
        <w:rPr>
          <w:b/>
          <w:bCs/>
        </w:rPr>
        <w:t xml:space="preserve"> Liq-12011/214/2023-IBBI/840 dated 18th July 2023</w:t>
      </w:r>
      <w:r w:rsidR="000844C4" w:rsidRPr="000B37C8">
        <w:rPr>
          <w:b/>
          <w:bCs/>
        </w:rPr>
        <w:t>)</w:t>
      </w:r>
      <w:r w:rsidRPr="000B37C8">
        <w:rPr>
          <w:b/>
          <w:bCs/>
        </w:rPr>
        <w:t xml:space="preserve"> addressed to NCLT, Principal Bench</w:t>
      </w:r>
      <w:r w:rsidRPr="005F3713">
        <w:rPr>
          <w:rFonts w:ascii="Calibri" w:hAnsi="Calibri" w:cs="Calibri"/>
          <w:i/>
          <w:iCs/>
          <w:lang w:val="en-US"/>
        </w:rPr>
        <w:t xml:space="preserve">. </w:t>
      </w:r>
    </w:p>
    <w:p w14:paraId="763609A8" w14:textId="77777777" w:rsidR="00DB3DA1" w:rsidRDefault="00DB3DA1" w:rsidP="00D65BC5">
      <w:pPr>
        <w:pStyle w:val="ListParagraph"/>
        <w:spacing w:line="276" w:lineRule="auto"/>
        <w:jc w:val="both"/>
        <w:rPr>
          <w:rFonts w:ascii="Calibri" w:hAnsi="Calibri" w:cs="Calibri"/>
          <w:b/>
          <w:bCs/>
          <w:lang w:val="en-US"/>
        </w:rPr>
      </w:pPr>
    </w:p>
    <w:p w14:paraId="1886C156" w14:textId="3701C344" w:rsidR="00D65BC5" w:rsidRDefault="000844C4" w:rsidP="00D65BC5">
      <w:pPr>
        <w:pStyle w:val="ListParagraph"/>
        <w:spacing w:line="276" w:lineRule="auto"/>
        <w:jc w:val="both"/>
        <w:rPr>
          <w:rFonts w:ascii="Calibri" w:hAnsi="Calibri" w:cs="Calibri"/>
          <w:lang w:val="en-US"/>
        </w:rPr>
      </w:pPr>
      <w:r>
        <w:rPr>
          <w:rFonts w:ascii="Calibri" w:hAnsi="Calibri" w:cs="Calibri"/>
          <w:lang w:val="en-US"/>
        </w:rPr>
        <w:t xml:space="preserve">The letter referred to above recommends (to NCLT) replacement of RPs while being considered for continued appointment as Liquidator. </w:t>
      </w:r>
      <w:r w:rsidR="00D65BC5" w:rsidRPr="00CF7130">
        <w:rPr>
          <w:rFonts w:ascii="Calibri" w:hAnsi="Calibri" w:cs="Calibri"/>
          <w:lang w:val="en-US"/>
        </w:rPr>
        <w:t xml:space="preserve"> The </w:t>
      </w:r>
      <w:r>
        <w:rPr>
          <w:rFonts w:ascii="Calibri" w:hAnsi="Calibri" w:cs="Calibri"/>
          <w:lang w:val="en-US"/>
        </w:rPr>
        <w:t>letter with words</w:t>
      </w:r>
      <w:r w:rsidR="00D65BC5" w:rsidRPr="00CF7130">
        <w:rPr>
          <w:rFonts w:ascii="Calibri" w:hAnsi="Calibri" w:cs="Calibri"/>
          <w:lang w:val="en-US"/>
        </w:rPr>
        <w:t xml:space="preserve"> “</w:t>
      </w:r>
      <w:r w:rsidR="00D65BC5" w:rsidRPr="00CF7130">
        <w:rPr>
          <w:rFonts w:ascii="Calibri" w:hAnsi="Calibri" w:cs="Calibri"/>
          <w:i/>
          <w:iCs/>
          <w:lang w:val="en-US"/>
        </w:rPr>
        <w:t>like perverse incentive available to RPs in deliberately pushing the CD towards liquidation</w:t>
      </w:r>
      <w:r w:rsidR="00D65BC5" w:rsidRPr="00CF7130">
        <w:rPr>
          <w:rFonts w:ascii="Calibri" w:hAnsi="Calibri" w:cs="Calibri"/>
          <w:lang w:val="en-US"/>
        </w:rPr>
        <w:t xml:space="preserve">” </w:t>
      </w:r>
      <w:r>
        <w:rPr>
          <w:rFonts w:ascii="Calibri" w:hAnsi="Calibri" w:cs="Calibri"/>
          <w:lang w:val="en-US"/>
        </w:rPr>
        <w:t xml:space="preserve">makes the position of RP suspicious in the eyes of </w:t>
      </w:r>
      <w:r w:rsidR="00D65BC5" w:rsidRPr="00CF7130">
        <w:rPr>
          <w:rFonts w:ascii="Calibri" w:hAnsi="Calibri" w:cs="Calibri"/>
          <w:lang w:val="en-US"/>
        </w:rPr>
        <w:t>NCLT</w:t>
      </w:r>
      <w:r>
        <w:rPr>
          <w:rFonts w:ascii="Calibri" w:hAnsi="Calibri" w:cs="Calibri"/>
          <w:lang w:val="en-US"/>
        </w:rPr>
        <w:t xml:space="preserve"> and stakeholders.  A few court judgments and some of the benches, of late, have allowed continuation of RP as Liquidator</w:t>
      </w:r>
      <w:r w:rsidR="00DB3DA1">
        <w:rPr>
          <w:rFonts w:ascii="Calibri" w:hAnsi="Calibri" w:cs="Calibri"/>
          <w:lang w:val="en-US"/>
        </w:rPr>
        <w:t>, as there is no provision in the Law/Regulation per se.</w:t>
      </w:r>
    </w:p>
    <w:p w14:paraId="295B2DDC" w14:textId="77777777" w:rsidR="00DB3DA1" w:rsidRDefault="00DB3DA1" w:rsidP="00D65BC5">
      <w:pPr>
        <w:pStyle w:val="ListParagraph"/>
        <w:spacing w:line="276" w:lineRule="auto"/>
        <w:jc w:val="both"/>
        <w:rPr>
          <w:rFonts w:ascii="Calibri" w:hAnsi="Calibri" w:cs="Calibri"/>
          <w:b/>
          <w:bCs/>
          <w:lang w:val="en-US"/>
        </w:rPr>
      </w:pPr>
    </w:p>
    <w:p w14:paraId="3A0543A7" w14:textId="3D52EE80" w:rsidR="00DF000F" w:rsidRDefault="00DB3DA1" w:rsidP="00D65BC5">
      <w:pPr>
        <w:pStyle w:val="ListParagraph"/>
        <w:spacing w:line="276" w:lineRule="auto"/>
        <w:jc w:val="both"/>
        <w:rPr>
          <w:rFonts w:ascii="Calibri" w:hAnsi="Calibri" w:cs="Calibri"/>
          <w:lang w:val="en-US"/>
        </w:rPr>
      </w:pPr>
      <w:r>
        <w:rPr>
          <w:rFonts w:ascii="Calibri" w:hAnsi="Calibri" w:cs="Calibri"/>
          <w:lang w:val="en-US"/>
        </w:rPr>
        <w:lastRenderedPageBreak/>
        <w:t xml:space="preserve">The letter referred to above may be reviewed/withdrawn in the interest of orderly development of profession based on market forces.   It is seen in many cases that COC may want the RP to continue as Liquidator but is unable due to the dispensation introduced vide such letter.   The suggestion as such also aligns with commercial wisdom of COC, which can act as necessary check and balance.  </w:t>
      </w:r>
    </w:p>
    <w:p w14:paraId="71D05CBE" w14:textId="77777777" w:rsidR="002B7E40" w:rsidRDefault="002B7E40" w:rsidP="002B7E40">
      <w:pPr>
        <w:pStyle w:val="ListParagraph"/>
        <w:rPr>
          <w:rFonts w:ascii="Calibri" w:hAnsi="Calibri" w:cs="Calibri"/>
          <w:lang w:val="en-US"/>
        </w:rPr>
      </w:pPr>
    </w:p>
    <w:p w14:paraId="70D755C7" w14:textId="2E305CFF" w:rsidR="00930F1B" w:rsidRPr="000B37C8" w:rsidRDefault="00930F1B" w:rsidP="005F5507">
      <w:pPr>
        <w:pStyle w:val="ListParagraph"/>
        <w:numPr>
          <w:ilvl w:val="0"/>
          <w:numId w:val="62"/>
        </w:numPr>
        <w:spacing w:line="276" w:lineRule="auto"/>
        <w:jc w:val="both"/>
        <w:rPr>
          <w:b/>
          <w:bCs/>
        </w:rPr>
      </w:pPr>
      <w:r w:rsidRPr="000B37C8">
        <w:rPr>
          <w:b/>
          <w:bCs/>
        </w:rPr>
        <w:t xml:space="preserve">Insistence by AA for IPs’ appearance during CIRP proceedings </w:t>
      </w:r>
    </w:p>
    <w:p w14:paraId="335C23D4" w14:textId="77777777" w:rsidR="00930F1B" w:rsidRDefault="00930F1B" w:rsidP="002B7E40">
      <w:pPr>
        <w:pStyle w:val="ListParagraph"/>
        <w:rPr>
          <w:rFonts w:ascii="Calibri" w:hAnsi="Calibri" w:cs="Calibri"/>
          <w:lang w:val="en-US"/>
        </w:rPr>
      </w:pPr>
    </w:p>
    <w:p w14:paraId="00B6A83F" w14:textId="2AF58176" w:rsidR="005F61B7" w:rsidRPr="00B128B9" w:rsidRDefault="00930F1B" w:rsidP="00B128B9">
      <w:pPr>
        <w:pStyle w:val="ListParagraph"/>
        <w:jc w:val="both"/>
        <w:rPr>
          <w:rFonts w:ascii="Calibri" w:hAnsi="Calibri" w:cs="Calibri"/>
          <w:lang w:val="en-US"/>
        </w:rPr>
      </w:pPr>
      <w:r>
        <w:rPr>
          <w:rFonts w:ascii="Calibri" w:hAnsi="Calibri" w:cs="Calibri"/>
          <w:lang w:val="en-US"/>
        </w:rPr>
        <w:t xml:space="preserve">As per IBBI’s recent </w:t>
      </w:r>
      <w:r w:rsidR="00125805">
        <w:rPr>
          <w:rFonts w:ascii="Calibri" w:hAnsi="Calibri" w:cs="Calibri"/>
          <w:lang w:val="en-US"/>
        </w:rPr>
        <w:t>letter dt.27</w:t>
      </w:r>
      <w:r w:rsidR="00125805" w:rsidRPr="00125805">
        <w:rPr>
          <w:rFonts w:ascii="Calibri" w:hAnsi="Calibri" w:cs="Calibri"/>
          <w:vertAlign w:val="superscript"/>
          <w:lang w:val="en-US"/>
        </w:rPr>
        <w:t>th</w:t>
      </w:r>
      <w:r w:rsidR="00125805">
        <w:rPr>
          <w:rFonts w:ascii="Calibri" w:hAnsi="Calibri" w:cs="Calibri"/>
          <w:lang w:val="en-US"/>
        </w:rPr>
        <w:t xml:space="preserve"> Aug. 2024,</w:t>
      </w:r>
      <w:r>
        <w:rPr>
          <w:rFonts w:ascii="Calibri" w:hAnsi="Calibri" w:cs="Calibri"/>
          <w:lang w:val="en-US"/>
        </w:rPr>
        <w:t xml:space="preserve"> RPs are required to attend NCLT proceedings personally</w:t>
      </w:r>
      <w:r w:rsidR="00125805">
        <w:rPr>
          <w:rFonts w:ascii="Calibri" w:hAnsi="Calibri" w:cs="Calibri"/>
          <w:lang w:val="en-US"/>
        </w:rPr>
        <w:t xml:space="preserve"> if directed by any judicial/quasi-judicial authority and for all important matters</w:t>
      </w:r>
      <w:r>
        <w:rPr>
          <w:rFonts w:ascii="Calibri" w:hAnsi="Calibri" w:cs="Calibri"/>
          <w:lang w:val="en-US"/>
        </w:rPr>
        <w:t xml:space="preserve">.   After issuance of the said </w:t>
      </w:r>
      <w:r w:rsidR="00125805">
        <w:rPr>
          <w:rFonts w:ascii="Calibri" w:hAnsi="Calibri" w:cs="Calibri"/>
          <w:lang w:val="en-US"/>
        </w:rPr>
        <w:t>letter</w:t>
      </w:r>
      <w:r>
        <w:rPr>
          <w:rFonts w:ascii="Calibri" w:hAnsi="Calibri" w:cs="Calibri"/>
          <w:lang w:val="en-US"/>
        </w:rPr>
        <w:t>, several benches have been insisting on RPs’ attendance invariably in nearly all the hearings</w:t>
      </w:r>
      <w:r w:rsidR="00125805">
        <w:rPr>
          <w:rFonts w:ascii="Calibri" w:hAnsi="Calibri" w:cs="Calibri"/>
          <w:lang w:val="en-US"/>
        </w:rPr>
        <w:t>/proceedings</w:t>
      </w:r>
      <w:r>
        <w:rPr>
          <w:rFonts w:ascii="Calibri" w:hAnsi="Calibri" w:cs="Calibri"/>
          <w:lang w:val="en-US"/>
        </w:rPr>
        <w:t xml:space="preserve"> in a CIRP.   Such </w:t>
      </w:r>
      <w:r w:rsidR="00CD0CB6">
        <w:rPr>
          <w:rFonts w:ascii="Calibri" w:hAnsi="Calibri" w:cs="Calibri"/>
          <w:lang w:val="en-US"/>
        </w:rPr>
        <w:t xml:space="preserve">attendance, especially in non-critical matters, may not add any value and instead create a drag on RP’s continued availability to attend to critical matters in the CIRP and/or running CD as going concern.  Therefore, there is a case for RP to attend court proceedings only discreetly.  In view of above, IBBI may consider revising the </w:t>
      </w:r>
      <w:r w:rsidR="00125805">
        <w:rPr>
          <w:rFonts w:ascii="Calibri" w:hAnsi="Calibri" w:cs="Calibri"/>
          <w:lang w:val="en-US"/>
        </w:rPr>
        <w:t>letter</w:t>
      </w:r>
      <w:r w:rsidR="00CD0CB6">
        <w:rPr>
          <w:rFonts w:ascii="Calibri" w:hAnsi="Calibri" w:cs="Calibri"/>
          <w:lang w:val="en-US"/>
        </w:rPr>
        <w:t xml:space="preserve"> referred above.  </w:t>
      </w:r>
    </w:p>
    <w:p w14:paraId="7A9CB83A" w14:textId="77777777" w:rsidR="005F61B7" w:rsidRDefault="005F61B7" w:rsidP="00A56F74">
      <w:pPr>
        <w:pStyle w:val="ListParagraph"/>
        <w:jc w:val="both"/>
        <w:rPr>
          <w:rFonts w:ascii="Calibri" w:hAnsi="Calibri" w:cs="Calibri"/>
          <w:lang w:val="en-US"/>
        </w:rPr>
      </w:pPr>
    </w:p>
    <w:p w14:paraId="0024BE65" w14:textId="51670847" w:rsidR="005F61B7" w:rsidRDefault="005F5507" w:rsidP="005F5507">
      <w:pPr>
        <w:pStyle w:val="ListParagraph"/>
        <w:jc w:val="center"/>
        <w:rPr>
          <w:rFonts w:ascii="Calibri" w:hAnsi="Calibri" w:cs="Calibri"/>
          <w:lang w:val="en-US"/>
        </w:rPr>
      </w:pPr>
      <w:r>
        <w:rPr>
          <w:rFonts w:ascii="Calibri" w:hAnsi="Calibri" w:cs="Calibri"/>
          <w:lang w:val="en-US"/>
        </w:rPr>
        <w:t>~~~~~~~~~~~</w:t>
      </w:r>
    </w:p>
    <w:sectPr w:rsidR="005F6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24E"/>
    <w:multiLevelType w:val="hybridMultilevel"/>
    <w:tmpl w:val="B2DC5728"/>
    <w:lvl w:ilvl="0" w:tplc="7C7E6492">
      <w:start w:val="1"/>
      <w:numFmt w:val="lowerLetter"/>
      <w:lvlText w:val="%1."/>
      <w:lvlJc w:val="left"/>
      <w:pPr>
        <w:ind w:left="1353" w:hanging="360"/>
      </w:pPr>
      <w:rPr>
        <w:rFonts w:hint="default"/>
      </w:rPr>
    </w:lvl>
    <w:lvl w:ilvl="1" w:tplc="40090019">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 w15:restartNumberingAfterBreak="0">
    <w:nsid w:val="01B93C1C"/>
    <w:multiLevelType w:val="multilevel"/>
    <w:tmpl w:val="6F9C26E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 w15:restartNumberingAfterBreak="0">
    <w:nsid w:val="048E6709"/>
    <w:multiLevelType w:val="hybridMultilevel"/>
    <w:tmpl w:val="19AAE84A"/>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04C80D6F"/>
    <w:multiLevelType w:val="hybridMultilevel"/>
    <w:tmpl w:val="2438CA8C"/>
    <w:lvl w:ilvl="0" w:tplc="FFFFFFFF">
      <w:start w:val="1"/>
      <w:numFmt w:val="lowerLetter"/>
      <w:lvlText w:val="%1."/>
      <w:lvlJc w:val="left"/>
      <w:pPr>
        <w:ind w:left="1440" w:hanging="720"/>
      </w:pPr>
      <w:rPr>
        <w:rFonts w:ascii="Calibri" w:eastAsia="SimSun" w:hAnsi="Calibri" w:cs="Calibri"/>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550C3A2">
      <w:start w:val="1"/>
      <w:numFmt w:val="lowerRoman"/>
      <w:lvlText w:val="(%5)"/>
      <w:lvlJc w:val="left"/>
      <w:pPr>
        <w:ind w:left="3839" w:hanging="720"/>
      </w:pPr>
      <w:rPr>
        <w:rFonts w:hint="default"/>
      </w:r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B922070"/>
    <w:multiLevelType w:val="hybridMultilevel"/>
    <w:tmpl w:val="58A2C9FC"/>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0DCE3DE5"/>
    <w:multiLevelType w:val="hybridMultilevel"/>
    <w:tmpl w:val="BABEAE98"/>
    <w:lvl w:ilvl="0" w:tplc="8F4A7B40">
      <w:start w:val="1"/>
      <w:numFmt w:val="upperLetter"/>
      <w:lvlText w:val="%1."/>
      <w:lvlJc w:val="left"/>
      <w:pPr>
        <w:ind w:left="1080" w:hanging="360"/>
      </w:pPr>
      <w:rPr>
        <w:rFonts w:hint="default"/>
        <w:b w:val="0"/>
        <w:bCs w:val="0"/>
        <w:i/>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04D0D34"/>
    <w:multiLevelType w:val="hybridMultilevel"/>
    <w:tmpl w:val="8D5C9B66"/>
    <w:lvl w:ilvl="0" w:tplc="40090019">
      <w:start w:val="1"/>
      <w:numFmt w:val="lowerLetter"/>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7" w15:restartNumberingAfterBreak="0">
    <w:nsid w:val="105C4553"/>
    <w:multiLevelType w:val="multilevel"/>
    <w:tmpl w:val="E7C63A1A"/>
    <w:lvl w:ilvl="0">
      <w:start w:val="1"/>
      <w:numFmt w:val="bullet"/>
      <w:lvlText w:val="•"/>
      <w:lvlJc w:val="left"/>
      <w:pPr>
        <w:tabs>
          <w:tab w:val="num" w:pos="1080"/>
        </w:tabs>
        <w:ind w:left="1080" w:hanging="360"/>
      </w:pPr>
      <w:rPr>
        <w:rFonts w:ascii="Arial" w:hAnsi="Arial" w:cs="Arial" w:hint="default"/>
        <w:color w:val="auto"/>
        <w:sz w:val="24"/>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31534D4"/>
    <w:multiLevelType w:val="singleLevel"/>
    <w:tmpl w:val="905A459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164C13E9"/>
    <w:multiLevelType w:val="hybridMultilevel"/>
    <w:tmpl w:val="D35E398E"/>
    <w:lvl w:ilvl="0" w:tplc="496AB9F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D09F5"/>
    <w:multiLevelType w:val="hybridMultilevel"/>
    <w:tmpl w:val="36D4C216"/>
    <w:lvl w:ilvl="0" w:tplc="E71CA7B6">
      <w:start w:val="13"/>
      <w:numFmt w:val="decimal"/>
      <w:lvlText w:val="%1."/>
      <w:lvlJc w:val="left"/>
      <w:pPr>
        <w:ind w:left="360" w:hanging="360"/>
      </w:pPr>
      <w:rPr>
        <w:rFonts w:hint="default"/>
        <w:b/>
        <w:bCs/>
      </w:rPr>
    </w:lvl>
    <w:lvl w:ilvl="1" w:tplc="40090019" w:tentative="1">
      <w:start w:val="1"/>
      <w:numFmt w:val="lowerLetter"/>
      <w:lvlText w:val="%2."/>
      <w:lvlJc w:val="left"/>
      <w:pPr>
        <w:ind w:left="360" w:hanging="360"/>
      </w:pPr>
    </w:lvl>
    <w:lvl w:ilvl="2" w:tplc="4009001B" w:tentative="1">
      <w:start w:val="1"/>
      <w:numFmt w:val="lowerRoman"/>
      <w:lvlText w:val="%3."/>
      <w:lvlJc w:val="right"/>
      <w:pPr>
        <w:ind w:left="1080" w:hanging="180"/>
      </w:pPr>
    </w:lvl>
    <w:lvl w:ilvl="3" w:tplc="4009000F" w:tentative="1">
      <w:start w:val="1"/>
      <w:numFmt w:val="decimal"/>
      <w:lvlText w:val="%4."/>
      <w:lvlJc w:val="left"/>
      <w:pPr>
        <w:ind w:left="1800" w:hanging="360"/>
      </w:pPr>
    </w:lvl>
    <w:lvl w:ilvl="4" w:tplc="40090019" w:tentative="1">
      <w:start w:val="1"/>
      <w:numFmt w:val="lowerLetter"/>
      <w:lvlText w:val="%5."/>
      <w:lvlJc w:val="left"/>
      <w:pPr>
        <w:ind w:left="2520" w:hanging="360"/>
      </w:pPr>
    </w:lvl>
    <w:lvl w:ilvl="5" w:tplc="4009001B" w:tentative="1">
      <w:start w:val="1"/>
      <w:numFmt w:val="lowerRoman"/>
      <w:lvlText w:val="%6."/>
      <w:lvlJc w:val="right"/>
      <w:pPr>
        <w:ind w:left="3240" w:hanging="180"/>
      </w:pPr>
    </w:lvl>
    <w:lvl w:ilvl="6" w:tplc="4009000F" w:tentative="1">
      <w:start w:val="1"/>
      <w:numFmt w:val="decimal"/>
      <w:lvlText w:val="%7."/>
      <w:lvlJc w:val="left"/>
      <w:pPr>
        <w:ind w:left="3960" w:hanging="360"/>
      </w:pPr>
    </w:lvl>
    <w:lvl w:ilvl="7" w:tplc="40090019" w:tentative="1">
      <w:start w:val="1"/>
      <w:numFmt w:val="lowerLetter"/>
      <w:lvlText w:val="%8."/>
      <w:lvlJc w:val="left"/>
      <w:pPr>
        <w:ind w:left="4680" w:hanging="360"/>
      </w:pPr>
    </w:lvl>
    <w:lvl w:ilvl="8" w:tplc="4009001B" w:tentative="1">
      <w:start w:val="1"/>
      <w:numFmt w:val="lowerRoman"/>
      <w:lvlText w:val="%9."/>
      <w:lvlJc w:val="right"/>
      <w:pPr>
        <w:ind w:left="5400" w:hanging="180"/>
      </w:pPr>
    </w:lvl>
  </w:abstractNum>
  <w:abstractNum w:abstractNumId="11" w15:restartNumberingAfterBreak="0">
    <w:nsid w:val="192605C1"/>
    <w:multiLevelType w:val="multilevel"/>
    <w:tmpl w:val="1DAC9F2A"/>
    <w:lvl w:ilvl="0">
      <w:start w:val="1"/>
      <w:numFmt w:val="lowerRoman"/>
      <w:lvlText w:val="%1."/>
      <w:lvlJc w:val="right"/>
      <w:pPr>
        <w:tabs>
          <w:tab w:val="num" w:pos="1080"/>
        </w:tabs>
        <w:ind w:left="1080" w:hanging="360"/>
      </w:pPr>
      <w:rPr>
        <w:rFonts w:hint="default"/>
        <w:i w:val="0"/>
        <w:iCs w:val="0"/>
        <w:color w:val="auto"/>
        <w:sz w:val="24"/>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1CBA4F1E"/>
    <w:multiLevelType w:val="hybridMultilevel"/>
    <w:tmpl w:val="DEC84B4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21EC0DD5"/>
    <w:multiLevelType w:val="hybridMultilevel"/>
    <w:tmpl w:val="BE0A35AA"/>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226F34B2"/>
    <w:multiLevelType w:val="hybridMultilevel"/>
    <w:tmpl w:val="26421394"/>
    <w:lvl w:ilvl="0" w:tplc="D26AE508">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E598F"/>
    <w:multiLevelType w:val="hybridMultilevel"/>
    <w:tmpl w:val="FBAC84AA"/>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249F323D"/>
    <w:multiLevelType w:val="hybridMultilevel"/>
    <w:tmpl w:val="BCC67214"/>
    <w:lvl w:ilvl="0" w:tplc="40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5655B00"/>
    <w:multiLevelType w:val="hybridMultilevel"/>
    <w:tmpl w:val="FCFE2FF8"/>
    <w:lvl w:ilvl="0" w:tplc="FFFFFFFF">
      <w:start w:val="1"/>
      <w:numFmt w:val="lowerLetter"/>
      <w:lvlText w:val="%1."/>
      <w:lvlJc w:val="left"/>
      <w:pPr>
        <w:ind w:left="1440" w:hanging="720"/>
      </w:pPr>
      <w:rPr>
        <w:rFonts w:ascii="Calibri" w:eastAsia="SimSun" w:hAnsi="Calibri" w:cs="Calibri"/>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C7BAB046">
      <w:start w:val="1"/>
      <w:numFmt w:val="lowerLetter"/>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7506AD1"/>
    <w:multiLevelType w:val="multilevel"/>
    <w:tmpl w:val="A9CEF904"/>
    <w:lvl w:ilvl="0">
      <w:start w:val="1"/>
      <w:numFmt w:val="lowerLetter"/>
      <w:lvlText w:val="%1."/>
      <w:lvlJc w:val="left"/>
      <w:pPr>
        <w:tabs>
          <w:tab w:val="num" w:pos="1080"/>
        </w:tabs>
        <w:ind w:left="1080" w:hanging="360"/>
      </w:pPr>
      <w:rPr>
        <w:rFonts w:hint="default"/>
        <w:sz w:val="24"/>
        <w:szCs w:val="32"/>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2B342802"/>
    <w:multiLevelType w:val="hybridMultilevel"/>
    <w:tmpl w:val="29A636B0"/>
    <w:lvl w:ilvl="0" w:tplc="40090013">
      <w:start w:val="1"/>
      <w:numFmt w:val="upperRoman"/>
      <w:lvlText w:val="%1."/>
      <w:lvlJc w:val="right"/>
      <w:pPr>
        <w:ind w:left="2139" w:hanging="360"/>
      </w:pPr>
    </w:lvl>
    <w:lvl w:ilvl="1" w:tplc="40090019">
      <w:start w:val="1"/>
      <w:numFmt w:val="lowerLetter"/>
      <w:lvlText w:val="%2."/>
      <w:lvlJc w:val="left"/>
      <w:pPr>
        <w:ind w:left="2859" w:hanging="360"/>
      </w:pPr>
    </w:lvl>
    <w:lvl w:ilvl="2" w:tplc="4009001B" w:tentative="1">
      <w:start w:val="1"/>
      <w:numFmt w:val="lowerRoman"/>
      <w:lvlText w:val="%3."/>
      <w:lvlJc w:val="right"/>
      <w:pPr>
        <w:ind w:left="3579" w:hanging="180"/>
      </w:pPr>
    </w:lvl>
    <w:lvl w:ilvl="3" w:tplc="4009000F" w:tentative="1">
      <w:start w:val="1"/>
      <w:numFmt w:val="decimal"/>
      <w:lvlText w:val="%4."/>
      <w:lvlJc w:val="left"/>
      <w:pPr>
        <w:ind w:left="4299" w:hanging="360"/>
      </w:pPr>
    </w:lvl>
    <w:lvl w:ilvl="4" w:tplc="40090019" w:tentative="1">
      <w:start w:val="1"/>
      <w:numFmt w:val="lowerLetter"/>
      <w:lvlText w:val="%5."/>
      <w:lvlJc w:val="left"/>
      <w:pPr>
        <w:ind w:left="5019" w:hanging="360"/>
      </w:pPr>
    </w:lvl>
    <w:lvl w:ilvl="5" w:tplc="4009001B" w:tentative="1">
      <w:start w:val="1"/>
      <w:numFmt w:val="lowerRoman"/>
      <w:lvlText w:val="%6."/>
      <w:lvlJc w:val="right"/>
      <w:pPr>
        <w:ind w:left="5739" w:hanging="180"/>
      </w:pPr>
    </w:lvl>
    <w:lvl w:ilvl="6" w:tplc="4009000F" w:tentative="1">
      <w:start w:val="1"/>
      <w:numFmt w:val="decimal"/>
      <w:lvlText w:val="%7."/>
      <w:lvlJc w:val="left"/>
      <w:pPr>
        <w:ind w:left="6459" w:hanging="360"/>
      </w:pPr>
    </w:lvl>
    <w:lvl w:ilvl="7" w:tplc="40090019" w:tentative="1">
      <w:start w:val="1"/>
      <w:numFmt w:val="lowerLetter"/>
      <w:lvlText w:val="%8."/>
      <w:lvlJc w:val="left"/>
      <w:pPr>
        <w:ind w:left="7179" w:hanging="360"/>
      </w:pPr>
    </w:lvl>
    <w:lvl w:ilvl="8" w:tplc="4009001B" w:tentative="1">
      <w:start w:val="1"/>
      <w:numFmt w:val="lowerRoman"/>
      <w:lvlText w:val="%9."/>
      <w:lvlJc w:val="right"/>
      <w:pPr>
        <w:ind w:left="7899" w:hanging="180"/>
      </w:pPr>
    </w:lvl>
  </w:abstractNum>
  <w:abstractNum w:abstractNumId="20" w15:restartNumberingAfterBreak="0">
    <w:nsid w:val="2D3D2BC4"/>
    <w:multiLevelType w:val="hybridMultilevel"/>
    <w:tmpl w:val="735C357C"/>
    <w:lvl w:ilvl="0" w:tplc="40090019">
      <w:start w:val="1"/>
      <w:numFmt w:val="lowerLetter"/>
      <w:lvlText w:val="%1."/>
      <w:lvlJc w:val="left"/>
      <w:pPr>
        <w:ind w:left="1571" w:hanging="360"/>
      </w:p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21" w15:restartNumberingAfterBreak="0">
    <w:nsid w:val="2D5A7FCD"/>
    <w:multiLevelType w:val="hybridMultilevel"/>
    <w:tmpl w:val="FC062B0E"/>
    <w:lvl w:ilvl="0" w:tplc="FBAA2B8C">
      <w:start w:val="1"/>
      <w:numFmt w:val="lowerLetter"/>
      <w:lvlText w:val="%1."/>
      <w:lvlJc w:val="left"/>
      <w:pPr>
        <w:ind w:left="1440" w:hanging="720"/>
      </w:pPr>
      <w:rPr>
        <w:rFonts w:ascii="Calibri" w:eastAsia="SimSun" w:hAnsi="Calibri" w:cs="Calibr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AA0E37"/>
    <w:multiLevelType w:val="hybridMultilevel"/>
    <w:tmpl w:val="11B00D68"/>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15:restartNumberingAfterBreak="0">
    <w:nsid w:val="318F6A35"/>
    <w:multiLevelType w:val="hybridMultilevel"/>
    <w:tmpl w:val="7264D4C2"/>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332F41DD"/>
    <w:multiLevelType w:val="hybridMultilevel"/>
    <w:tmpl w:val="D512B4A6"/>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33B44A65"/>
    <w:multiLevelType w:val="singleLevel"/>
    <w:tmpl w:val="891C5B6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6" w15:restartNumberingAfterBreak="0">
    <w:nsid w:val="3440380C"/>
    <w:multiLevelType w:val="hybridMultilevel"/>
    <w:tmpl w:val="E6F86C7E"/>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0">
    <w:nsid w:val="34EF6EE4"/>
    <w:multiLevelType w:val="singleLevel"/>
    <w:tmpl w:val="52CE0C6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8" w15:restartNumberingAfterBreak="0">
    <w:nsid w:val="35D744A3"/>
    <w:multiLevelType w:val="multilevel"/>
    <w:tmpl w:val="6DD026DC"/>
    <w:lvl w:ilvl="0">
      <w:start w:val="1"/>
      <w:numFmt w:val="lowerRoman"/>
      <w:lvlText w:val="%1."/>
      <w:lvlJc w:val="right"/>
      <w:pPr>
        <w:tabs>
          <w:tab w:val="num" w:pos="1080"/>
        </w:tabs>
        <w:ind w:left="1080" w:hanging="360"/>
      </w:pPr>
      <w:rPr>
        <w:rFonts w:hint="default"/>
        <w:color w:val="auto"/>
        <w:sz w:val="24"/>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36190A40"/>
    <w:multiLevelType w:val="hybridMultilevel"/>
    <w:tmpl w:val="83642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AE535C"/>
    <w:multiLevelType w:val="multilevel"/>
    <w:tmpl w:val="60DE98B2"/>
    <w:lvl w:ilvl="0">
      <w:start w:val="1"/>
      <w:numFmt w:val="bullet"/>
      <w:lvlText w:val="•"/>
      <w:lvlJc w:val="left"/>
      <w:pPr>
        <w:tabs>
          <w:tab w:val="num" w:pos="720"/>
        </w:tabs>
        <w:ind w:left="720" w:hanging="360"/>
      </w:pPr>
      <w:rPr>
        <w:rFonts w:ascii="Arial" w:hAnsi="Arial" w:cs="Arial" w:hint="default"/>
        <w:color w:val="auto"/>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9AF372E"/>
    <w:multiLevelType w:val="hybridMultilevel"/>
    <w:tmpl w:val="7CAAF690"/>
    <w:lvl w:ilvl="0" w:tplc="1D58377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B045A0D"/>
    <w:multiLevelType w:val="hybridMultilevel"/>
    <w:tmpl w:val="8C0C23B0"/>
    <w:lvl w:ilvl="0" w:tplc="ADECB252">
      <w:start w:val="2"/>
      <w:numFmt w:val="bullet"/>
      <w:lvlText w:val="-"/>
      <w:lvlJc w:val="left"/>
      <w:pPr>
        <w:ind w:left="1080" w:hanging="360"/>
      </w:pPr>
      <w:rPr>
        <w:rFonts w:ascii="Aptos" w:eastAsiaTheme="minorHAnsi" w:hAnsi="Aptos"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15:restartNumberingAfterBreak="0">
    <w:nsid w:val="3BD06CE0"/>
    <w:multiLevelType w:val="singleLevel"/>
    <w:tmpl w:val="33744F3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4" w15:restartNumberingAfterBreak="0">
    <w:nsid w:val="3F7232B4"/>
    <w:multiLevelType w:val="singleLevel"/>
    <w:tmpl w:val="676ABB2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5" w15:restartNumberingAfterBreak="0">
    <w:nsid w:val="3FC812B7"/>
    <w:multiLevelType w:val="hybridMultilevel"/>
    <w:tmpl w:val="0C72DCB0"/>
    <w:lvl w:ilvl="0" w:tplc="40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40012206"/>
    <w:multiLevelType w:val="singleLevel"/>
    <w:tmpl w:val="56C2AD0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7" w15:restartNumberingAfterBreak="0">
    <w:nsid w:val="415770D6"/>
    <w:multiLevelType w:val="multilevel"/>
    <w:tmpl w:val="46605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8F042C"/>
    <w:multiLevelType w:val="hybridMultilevel"/>
    <w:tmpl w:val="94342A24"/>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9" w15:restartNumberingAfterBreak="0">
    <w:nsid w:val="43B657D7"/>
    <w:multiLevelType w:val="hybridMultilevel"/>
    <w:tmpl w:val="5462B99E"/>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0" w15:restartNumberingAfterBreak="0">
    <w:nsid w:val="450B7A11"/>
    <w:multiLevelType w:val="hybridMultilevel"/>
    <w:tmpl w:val="53DC96AE"/>
    <w:lvl w:ilvl="0" w:tplc="6CA4427E">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8F6988"/>
    <w:multiLevelType w:val="singleLevel"/>
    <w:tmpl w:val="4276040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2" w15:restartNumberingAfterBreak="0">
    <w:nsid w:val="49337CBF"/>
    <w:multiLevelType w:val="hybridMultilevel"/>
    <w:tmpl w:val="9CD88D1E"/>
    <w:lvl w:ilvl="0" w:tplc="40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49CF50E3"/>
    <w:multiLevelType w:val="singleLevel"/>
    <w:tmpl w:val="D822492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4" w15:restartNumberingAfterBreak="0">
    <w:nsid w:val="54F75BBC"/>
    <w:multiLevelType w:val="singleLevel"/>
    <w:tmpl w:val="FC0ACF7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5" w15:restartNumberingAfterBreak="0">
    <w:nsid w:val="5670424F"/>
    <w:multiLevelType w:val="multilevel"/>
    <w:tmpl w:val="30663CF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5AB10265"/>
    <w:multiLevelType w:val="hybridMultilevel"/>
    <w:tmpl w:val="2C10BB7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7" w15:restartNumberingAfterBreak="0">
    <w:nsid w:val="618C0B32"/>
    <w:multiLevelType w:val="hybridMultilevel"/>
    <w:tmpl w:val="7FBA65BE"/>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8" w15:restartNumberingAfterBreak="0">
    <w:nsid w:val="63255E4D"/>
    <w:multiLevelType w:val="multilevel"/>
    <w:tmpl w:val="06100B7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9" w15:restartNumberingAfterBreak="0">
    <w:nsid w:val="672A0CA9"/>
    <w:multiLevelType w:val="hybridMultilevel"/>
    <w:tmpl w:val="DE12D7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678102DB"/>
    <w:multiLevelType w:val="hybridMultilevel"/>
    <w:tmpl w:val="933CE68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1" w15:restartNumberingAfterBreak="0">
    <w:nsid w:val="68DD3E06"/>
    <w:multiLevelType w:val="hybridMultilevel"/>
    <w:tmpl w:val="6298D34E"/>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2" w15:restartNumberingAfterBreak="0">
    <w:nsid w:val="6A836C47"/>
    <w:multiLevelType w:val="hybridMultilevel"/>
    <w:tmpl w:val="FAE47E4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BF15D22"/>
    <w:multiLevelType w:val="hybridMultilevel"/>
    <w:tmpl w:val="6CA455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6E877660"/>
    <w:multiLevelType w:val="singleLevel"/>
    <w:tmpl w:val="A628E30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5" w15:restartNumberingAfterBreak="0">
    <w:nsid w:val="6EFB7443"/>
    <w:multiLevelType w:val="hybridMultilevel"/>
    <w:tmpl w:val="FAE47E44"/>
    <w:lvl w:ilvl="0" w:tplc="FE2A22D4">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730D1D0C"/>
    <w:multiLevelType w:val="hybridMultilevel"/>
    <w:tmpl w:val="2E34E77E"/>
    <w:lvl w:ilvl="0" w:tplc="124C49CE">
      <w:start w:val="8"/>
      <w:numFmt w:val="decimal"/>
      <w:lvlText w:val="%1."/>
      <w:lvlJc w:val="left"/>
      <w:pPr>
        <w:ind w:left="360" w:hanging="360"/>
      </w:pPr>
      <w:rPr>
        <w:rFonts w:hint="default"/>
        <w:b/>
        <w:bCs/>
        <w:color w:val="auto"/>
      </w:rPr>
    </w:lvl>
    <w:lvl w:ilvl="1" w:tplc="40090019" w:tentative="1">
      <w:start w:val="1"/>
      <w:numFmt w:val="lowerLetter"/>
      <w:lvlText w:val="%2."/>
      <w:lvlJc w:val="left"/>
      <w:pPr>
        <w:ind w:left="-339" w:hanging="360"/>
      </w:pPr>
    </w:lvl>
    <w:lvl w:ilvl="2" w:tplc="4009001B" w:tentative="1">
      <w:start w:val="1"/>
      <w:numFmt w:val="lowerRoman"/>
      <w:lvlText w:val="%3."/>
      <w:lvlJc w:val="right"/>
      <w:pPr>
        <w:ind w:left="381" w:hanging="180"/>
      </w:pPr>
    </w:lvl>
    <w:lvl w:ilvl="3" w:tplc="4009000F" w:tentative="1">
      <w:start w:val="1"/>
      <w:numFmt w:val="decimal"/>
      <w:lvlText w:val="%4."/>
      <w:lvlJc w:val="left"/>
      <w:pPr>
        <w:ind w:left="1101" w:hanging="360"/>
      </w:pPr>
    </w:lvl>
    <w:lvl w:ilvl="4" w:tplc="40090019" w:tentative="1">
      <w:start w:val="1"/>
      <w:numFmt w:val="lowerLetter"/>
      <w:lvlText w:val="%5."/>
      <w:lvlJc w:val="left"/>
      <w:pPr>
        <w:ind w:left="1821" w:hanging="360"/>
      </w:pPr>
    </w:lvl>
    <w:lvl w:ilvl="5" w:tplc="4009001B" w:tentative="1">
      <w:start w:val="1"/>
      <w:numFmt w:val="lowerRoman"/>
      <w:lvlText w:val="%6."/>
      <w:lvlJc w:val="right"/>
      <w:pPr>
        <w:ind w:left="2541" w:hanging="180"/>
      </w:pPr>
    </w:lvl>
    <w:lvl w:ilvl="6" w:tplc="4009000F" w:tentative="1">
      <w:start w:val="1"/>
      <w:numFmt w:val="decimal"/>
      <w:lvlText w:val="%7."/>
      <w:lvlJc w:val="left"/>
      <w:pPr>
        <w:ind w:left="3261" w:hanging="360"/>
      </w:pPr>
    </w:lvl>
    <w:lvl w:ilvl="7" w:tplc="40090019" w:tentative="1">
      <w:start w:val="1"/>
      <w:numFmt w:val="lowerLetter"/>
      <w:lvlText w:val="%8."/>
      <w:lvlJc w:val="left"/>
      <w:pPr>
        <w:ind w:left="3981" w:hanging="360"/>
      </w:pPr>
    </w:lvl>
    <w:lvl w:ilvl="8" w:tplc="4009001B" w:tentative="1">
      <w:start w:val="1"/>
      <w:numFmt w:val="lowerRoman"/>
      <w:lvlText w:val="%9."/>
      <w:lvlJc w:val="right"/>
      <w:pPr>
        <w:ind w:left="4701" w:hanging="180"/>
      </w:pPr>
    </w:lvl>
  </w:abstractNum>
  <w:abstractNum w:abstractNumId="57" w15:restartNumberingAfterBreak="0">
    <w:nsid w:val="744D0409"/>
    <w:multiLevelType w:val="hybridMultilevel"/>
    <w:tmpl w:val="F11670AC"/>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8" w15:restartNumberingAfterBreak="0">
    <w:nsid w:val="75161BFB"/>
    <w:multiLevelType w:val="hybridMultilevel"/>
    <w:tmpl w:val="69AC4FCC"/>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9" w15:restartNumberingAfterBreak="0">
    <w:nsid w:val="794E77CD"/>
    <w:multiLevelType w:val="hybridMultilevel"/>
    <w:tmpl w:val="2B2A44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9B85CBB"/>
    <w:multiLevelType w:val="hybridMultilevel"/>
    <w:tmpl w:val="918082CC"/>
    <w:lvl w:ilvl="0" w:tplc="739233CC">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B694D99"/>
    <w:multiLevelType w:val="hybridMultilevel"/>
    <w:tmpl w:val="F11670A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798453477">
    <w:abstractNumId w:val="55"/>
  </w:num>
  <w:num w:numId="2" w16cid:durableId="723649398">
    <w:abstractNumId w:val="50"/>
  </w:num>
  <w:num w:numId="3" w16cid:durableId="162861819">
    <w:abstractNumId w:val="46"/>
  </w:num>
  <w:num w:numId="4" w16cid:durableId="945842345">
    <w:abstractNumId w:val="49"/>
  </w:num>
  <w:num w:numId="5" w16cid:durableId="403601415">
    <w:abstractNumId w:val="53"/>
  </w:num>
  <w:num w:numId="6" w16cid:durableId="1285230281">
    <w:abstractNumId w:val="5"/>
  </w:num>
  <w:num w:numId="7" w16cid:durableId="1516727408">
    <w:abstractNumId w:val="32"/>
  </w:num>
  <w:num w:numId="8" w16cid:durableId="930502359">
    <w:abstractNumId w:val="29"/>
  </w:num>
  <w:num w:numId="9" w16cid:durableId="1581982846">
    <w:abstractNumId w:val="21"/>
  </w:num>
  <w:num w:numId="10" w16cid:durableId="1291663737">
    <w:abstractNumId w:val="17"/>
  </w:num>
  <w:num w:numId="11" w16cid:durableId="40398873">
    <w:abstractNumId w:val="3"/>
  </w:num>
  <w:num w:numId="12" w16cid:durableId="1337464250">
    <w:abstractNumId w:val="0"/>
  </w:num>
  <w:num w:numId="13" w16cid:durableId="945036940">
    <w:abstractNumId w:val="19"/>
  </w:num>
  <w:num w:numId="14" w16cid:durableId="1113283652">
    <w:abstractNumId w:val="14"/>
  </w:num>
  <w:num w:numId="15" w16cid:durableId="2078703043">
    <w:abstractNumId w:val="9"/>
  </w:num>
  <w:num w:numId="16" w16cid:durableId="937518004">
    <w:abstractNumId w:val="34"/>
  </w:num>
  <w:num w:numId="17" w16cid:durableId="377902072">
    <w:abstractNumId w:val="8"/>
  </w:num>
  <w:num w:numId="18" w16cid:durableId="1894269700">
    <w:abstractNumId w:val="40"/>
  </w:num>
  <w:num w:numId="19" w16cid:durableId="796334846">
    <w:abstractNumId w:val="36"/>
  </w:num>
  <w:num w:numId="20" w16cid:durableId="1608194826">
    <w:abstractNumId w:val="45"/>
  </w:num>
  <w:num w:numId="21" w16cid:durableId="656425558">
    <w:abstractNumId w:val="7"/>
  </w:num>
  <w:num w:numId="22" w16cid:durableId="12049459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1177928">
    <w:abstractNumId w:val="37"/>
  </w:num>
  <w:num w:numId="24" w16cid:durableId="881552373">
    <w:abstractNumId w:val="54"/>
  </w:num>
  <w:num w:numId="25" w16cid:durableId="176771135">
    <w:abstractNumId w:val="43"/>
  </w:num>
  <w:num w:numId="26" w16cid:durableId="2067337514">
    <w:abstractNumId w:val="27"/>
  </w:num>
  <w:num w:numId="27" w16cid:durableId="173964114">
    <w:abstractNumId w:val="44"/>
  </w:num>
  <w:num w:numId="28" w16cid:durableId="482627850">
    <w:abstractNumId w:val="33"/>
  </w:num>
  <w:num w:numId="29" w16cid:durableId="1366061111">
    <w:abstractNumId w:val="41"/>
  </w:num>
  <w:num w:numId="30" w16cid:durableId="1026784792">
    <w:abstractNumId w:val="25"/>
  </w:num>
  <w:num w:numId="31" w16cid:durableId="12082944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43494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58308148">
    <w:abstractNumId w:val="31"/>
  </w:num>
  <w:num w:numId="34" w16cid:durableId="737173620">
    <w:abstractNumId w:val="59"/>
  </w:num>
  <w:num w:numId="35" w16cid:durableId="1045910312">
    <w:abstractNumId w:val="60"/>
  </w:num>
  <w:num w:numId="36" w16cid:durableId="1021665783">
    <w:abstractNumId w:val="52"/>
  </w:num>
  <w:num w:numId="37" w16cid:durableId="702746978">
    <w:abstractNumId w:val="15"/>
  </w:num>
  <w:num w:numId="38" w16cid:durableId="1795249498">
    <w:abstractNumId w:val="12"/>
  </w:num>
  <w:num w:numId="39" w16cid:durableId="10037891">
    <w:abstractNumId w:val="4"/>
  </w:num>
  <w:num w:numId="40" w16cid:durableId="1472094843">
    <w:abstractNumId w:val="39"/>
  </w:num>
  <w:num w:numId="41" w16cid:durableId="394358606">
    <w:abstractNumId w:val="38"/>
  </w:num>
  <w:num w:numId="42" w16cid:durableId="1636372860">
    <w:abstractNumId w:val="58"/>
  </w:num>
  <w:num w:numId="43" w16cid:durableId="957184180">
    <w:abstractNumId w:val="57"/>
  </w:num>
  <w:num w:numId="44" w16cid:durableId="1143736110">
    <w:abstractNumId w:val="23"/>
  </w:num>
  <w:num w:numId="45" w16cid:durableId="652217452">
    <w:abstractNumId w:val="61"/>
  </w:num>
  <w:num w:numId="46" w16cid:durableId="650333659">
    <w:abstractNumId w:val="35"/>
  </w:num>
  <w:num w:numId="47" w16cid:durableId="1864321455">
    <w:abstractNumId w:val="2"/>
  </w:num>
  <w:num w:numId="48" w16cid:durableId="2134058468">
    <w:abstractNumId w:val="47"/>
  </w:num>
  <w:num w:numId="49" w16cid:durableId="1187063234">
    <w:abstractNumId w:val="22"/>
  </w:num>
  <w:num w:numId="50" w16cid:durableId="190270134">
    <w:abstractNumId w:val="16"/>
  </w:num>
  <w:num w:numId="51" w16cid:durableId="1967273595">
    <w:abstractNumId w:val="42"/>
  </w:num>
  <w:num w:numId="52" w16cid:durableId="407463709">
    <w:abstractNumId w:val="13"/>
  </w:num>
  <w:num w:numId="53" w16cid:durableId="805315416">
    <w:abstractNumId w:val="6"/>
  </w:num>
  <w:num w:numId="54" w16cid:durableId="97677140">
    <w:abstractNumId w:val="24"/>
  </w:num>
  <w:num w:numId="55" w16cid:durableId="2088569783">
    <w:abstractNumId w:val="20"/>
  </w:num>
  <w:num w:numId="56" w16cid:durableId="971708813">
    <w:abstractNumId w:val="51"/>
  </w:num>
  <w:num w:numId="57" w16cid:durableId="864176366">
    <w:abstractNumId w:val="18"/>
  </w:num>
  <w:num w:numId="58" w16cid:durableId="1637251714">
    <w:abstractNumId w:val="11"/>
  </w:num>
  <w:num w:numId="59" w16cid:durableId="1799179046">
    <w:abstractNumId w:val="28"/>
  </w:num>
  <w:num w:numId="60" w16cid:durableId="1078138358">
    <w:abstractNumId w:val="26"/>
  </w:num>
  <w:num w:numId="61" w16cid:durableId="2007391310">
    <w:abstractNumId w:val="56"/>
  </w:num>
  <w:num w:numId="62" w16cid:durableId="12086863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C5"/>
    <w:rsid w:val="00054FEF"/>
    <w:rsid w:val="00080CDD"/>
    <w:rsid w:val="000844C4"/>
    <w:rsid w:val="000B170B"/>
    <w:rsid w:val="000B37C8"/>
    <w:rsid w:val="000B38FA"/>
    <w:rsid w:val="000B5EB6"/>
    <w:rsid w:val="00125805"/>
    <w:rsid w:val="0013419C"/>
    <w:rsid w:val="001C15F4"/>
    <w:rsid w:val="001F249A"/>
    <w:rsid w:val="00232921"/>
    <w:rsid w:val="00245830"/>
    <w:rsid w:val="00266DB4"/>
    <w:rsid w:val="00274D13"/>
    <w:rsid w:val="00276205"/>
    <w:rsid w:val="002B6A91"/>
    <w:rsid w:val="002B7E40"/>
    <w:rsid w:val="002C4683"/>
    <w:rsid w:val="00314690"/>
    <w:rsid w:val="003150A8"/>
    <w:rsid w:val="00323FDD"/>
    <w:rsid w:val="00423FF1"/>
    <w:rsid w:val="004253C2"/>
    <w:rsid w:val="004346E9"/>
    <w:rsid w:val="004474A5"/>
    <w:rsid w:val="004510A7"/>
    <w:rsid w:val="004609AC"/>
    <w:rsid w:val="004737D3"/>
    <w:rsid w:val="00475AD8"/>
    <w:rsid w:val="004824C1"/>
    <w:rsid w:val="004B6E02"/>
    <w:rsid w:val="004D0740"/>
    <w:rsid w:val="004E625C"/>
    <w:rsid w:val="004F7183"/>
    <w:rsid w:val="0055066D"/>
    <w:rsid w:val="005559F3"/>
    <w:rsid w:val="005764E7"/>
    <w:rsid w:val="00581EF4"/>
    <w:rsid w:val="005855B7"/>
    <w:rsid w:val="005C6299"/>
    <w:rsid w:val="005E2A30"/>
    <w:rsid w:val="005E75D9"/>
    <w:rsid w:val="005F3713"/>
    <w:rsid w:val="005F5507"/>
    <w:rsid w:val="005F61B7"/>
    <w:rsid w:val="00621EE4"/>
    <w:rsid w:val="00623DC1"/>
    <w:rsid w:val="00651C6D"/>
    <w:rsid w:val="006527C3"/>
    <w:rsid w:val="00677B8B"/>
    <w:rsid w:val="00694EAA"/>
    <w:rsid w:val="006D4CC1"/>
    <w:rsid w:val="00715C56"/>
    <w:rsid w:val="00724F60"/>
    <w:rsid w:val="00736A8B"/>
    <w:rsid w:val="0078641D"/>
    <w:rsid w:val="00794A8E"/>
    <w:rsid w:val="007951C7"/>
    <w:rsid w:val="007A31A5"/>
    <w:rsid w:val="007A5E56"/>
    <w:rsid w:val="007C78DC"/>
    <w:rsid w:val="007D4908"/>
    <w:rsid w:val="00805230"/>
    <w:rsid w:val="00807E72"/>
    <w:rsid w:val="008138D0"/>
    <w:rsid w:val="00820DEE"/>
    <w:rsid w:val="0084373D"/>
    <w:rsid w:val="008A2F80"/>
    <w:rsid w:val="008C6C6F"/>
    <w:rsid w:val="008F15ED"/>
    <w:rsid w:val="0093016D"/>
    <w:rsid w:val="00930F1B"/>
    <w:rsid w:val="009357A7"/>
    <w:rsid w:val="00940729"/>
    <w:rsid w:val="00945561"/>
    <w:rsid w:val="00974BE1"/>
    <w:rsid w:val="00981E86"/>
    <w:rsid w:val="009B27E5"/>
    <w:rsid w:val="009B4169"/>
    <w:rsid w:val="009B7989"/>
    <w:rsid w:val="009C561E"/>
    <w:rsid w:val="009D2810"/>
    <w:rsid w:val="009F272D"/>
    <w:rsid w:val="00A56F74"/>
    <w:rsid w:val="00A63BF6"/>
    <w:rsid w:val="00A64513"/>
    <w:rsid w:val="00A73572"/>
    <w:rsid w:val="00A827AA"/>
    <w:rsid w:val="00AB5020"/>
    <w:rsid w:val="00AE3BE0"/>
    <w:rsid w:val="00AF3E89"/>
    <w:rsid w:val="00B03F67"/>
    <w:rsid w:val="00B128B9"/>
    <w:rsid w:val="00B4326A"/>
    <w:rsid w:val="00B465A4"/>
    <w:rsid w:val="00B539C9"/>
    <w:rsid w:val="00BC1252"/>
    <w:rsid w:val="00BF45D1"/>
    <w:rsid w:val="00C022DB"/>
    <w:rsid w:val="00C93D38"/>
    <w:rsid w:val="00CA3ABA"/>
    <w:rsid w:val="00CD0CB6"/>
    <w:rsid w:val="00D05DAC"/>
    <w:rsid w:val="00D14F96"/>
    <w:rsid w:val="00D21BAB"/>
    <w:rsid w:val="00D24AA8"/>
    <w:rsid w:val="00D65BC5"/>
    <w:rsid w:val="00D93977"/>
    <w:rsid w:val="00DB00E0"/>
    <w:rsid w:val="00DB3DA1"/>
    <w:rsid w:val="00DF000F"/>
    <w:rsid w:val="00E036E4"/>
    <w:rsid w:val="00E04779"/>
    <w:rsid w:val="00F24586"/>
    <w:rsid w:val="00F247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D70C"/>
  <w15:chartTrackingRefBased/>
  <w15:docId w15:val="{CEAE629E-2EA8-4E43-BDE3-613855C0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513"/>
  </w:style>
  <w:style w:type="paragraph" w:styleId="Heading1">
    <w:name w:val="heading 1"/>
    <w:basedOn w:val="Normal"/>
    <w:next w:val="Normal"/>
    <w:link w:val="Heading1Char"/>
    <w:uiPriority w:val="9"/>
    <w:qFormat/>
    <w:rsid w:val="00A645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45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45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45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45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45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5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5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5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5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45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45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45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45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4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513"/>
    <w:rPr>
      <w:rFonts w:eastAsiaTheme="majorEastAsia" w:cstheme="majorBidi"/>
      <w:color w:val="272727" w:themeColor="text1" w:themeTint="D8"/>
    </w:rPr>
  </w:style>
  <w:style w:type="paragraph" w:styleId="Title">
    <w:name w:val="Title"/>
    <w:basedOn w:val="Normal"/>
    <w:next w:val="Normal"/>
    <w:link w:val="TitleChar"/>
    <w:uiPriority w:val="10"/>
    <w:qFormat/>
    <w:rsid w:val="00A64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5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513"/>
    <w:pPr>
      <w:spacing w:before="160"/>
      <w:jc w:val="center"/>
    </w:pPr>
    <w:rPr>
      <w:i/>
      <w:iCs/>
      <w:color w:val="404040" w:themeColor="text1" w:themeTint="BF"/>
    </w:rPr>
  </w:style>
  <w:style w:type="character" w:customStyle="1" w:styleId="QuoteChar">
    <w:name w:val="Quote Char"/>
    <w:basedOn w:val="DefaultParagraphFont"/>
    <w:link w:val="Quote"/>
    <w:uiPriority w:val="29"/>
    <w:rsid w:val="00A64513"/>
    <w:rPr>
      <w:i/>
      <w:iCs/>
      <w:color w:val="404040" w:themeColor="text1" w:themeTint="BF"/>
    </w:rPr>
  </w:style>
  <w:style w:type="paragraph" w:styleId="ListParagraph">
    <w:name w:val="List Paragraph"/>
    <w:basedOn w:val="Normal"/>
    <w:link w:val="ListParagraphChar"/>
    <w:uiPriority w:val="34"/>
    <w:qFormat/>
    <w:rsid w:val="00D65BC5"/>
    <w:pPr>
      <w:ind w:left="720"/>
      <w:contextualSpacing/>
    </w:pPr>
  </w:style>
  <w:style w:type="character" w:styleId="IntenseEmphasis">
    <w:name w:val="Intense Emphasis"/>
    <w:basedOn w:val="DefaultParagraphFont"/>
    <w:uiPriority w:val="21"/>
    <w:qFormat/>
    <w:rsid w:val="00A64513"/>
    <w:rPr>
      <w:i/>
      <w:iCs/>
      <w:color w:val="2F5496" w:themeColor="accent1" w:themeShade="BF"/>
    </w:rPr>
  </w:style>
  <w:style w:type="paragraph" w:styleId="IntenseQuote">
    <w:name w:val="Intense Quote"/>
    <w:basedOn w:val="Normal"/>
    <w:next w:val="Normal"/>
    <w:link w:val="IntenseQuoteChar"/>
    <w:uiPriority w:val="30"/>
    <w:qFormat/>
    <w:rsid w:val="00A645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4513"/>
    <w:rPr>
      <w:i/>
      <w:iCs/>
      <w:color w:val="2F5496" w:themeColor="accent1" w:themeShade="BF"/>
    </w:rPr>
  </w:style>
  <w:style w:type="character" w:styleId="IntenseReference">
    <w:name w:val="Intense Reference"/>
    <w:basedOn w:val="DefaultParagraphFont"/>
    <w:uiPriority w:val="32"/>
    <w:qFormat/>
    <w:rsid w:val="00A64513"/>
    <w:rPr>
      <w:b/>
      <w:bCs/>
      <w:smallCaps/>
      <w:color w:val="2F5496" w:themeColor="accent1" w:themeShade="BF"/>
      <w:spacing w:val="5"/>
    </w:rPr>
  </w:style>
  <w:style w:type="character" w:customStyle="1" w:styleId="ListParagraphChar">
    <w:name w:val="List Paragraph Char"/>
    <w:link w:val="ListParagraph"/>
    <w:uiPriority w:val="34"/>
    <w:rsid w:val="008138D0"/>
  </w:style>
  <w:style w:type="paragraph" w:styleId="NormalWeb">
    <w:name w:val="Normal (Web)"/>
    <w:basedOn w:val="Normal"/>
    <w:uiPriority w:val="99"/>
    <w:unhideWhenUsed/>
    <w:rsid w:val="0084373D"/>
    <w:pPr>
      <w:spacing w:before="100" w:beforeAutospacing="1" w:after="100" w:afterAutospacing="1" w:line="240" w:lineRule="auto"/>
    </w:pPr>
    <w:rPr>
      <w:rFonts w:ascii="Times New Roman" w:eastAsia="Times New Roman" w:hAnsi="Times New Roman" w:cs="Times New Roman"/>
      <w:lang w:eastAsia="en-IN"/>
    </w:rPr>
  </w:style>
  <w:style w:type="paragraph" w:styleId="BodyText">
    <w:name w:val="Body Text"/>
    <w:basedOn w:val="Normal"/>
    <w:link w:val="BodyTextChar"/>
    <w:uiPriority w:val="1"/>
    <w:qFormat/>
    <w:rsid w:val="00794A8E"/>
    <w:pPr>
      <w:widowControl w:val="0"/>
      <w:autoSpaceDE w:val="0"/>
      <w:autoSpaceDN w:val="0"/>
      <w:spacing w:after="0" w:line="240" w:lineRule="auto"/>
    </w:pPr>
    <w:rPr>
      <w:rFonts w:ascii="Verdana" w:eastAsia="Verdana" w:hAnsi="Verdana" w:cs="Verdana"/>
      <w:lang w:val="en-US"/>
    </w:rPr>
  </w:style>
  <w:style w:type="character" w:customStyle="1" w:styleId="BodyTextChar">
    <w:name w:val="Body Text Char"/>
    <w:basedOn w:val="DefaultParagraphFont"/>
    <w:link w:val="BodyText"/>
    <w:uiPriority w:val="1"/>
    <w:rsid w:val="00794A8E"/>
    <w:rPr>
      <w:rFonts w:ascii="Verdana" w:eastAsia="Verdana" w:hAnsi="Verdana" w:cs="Verdana"/>
      <w:kern w:val="0"/>
      <w:sz w:val="24"/>
      <w:szCs w:val="24"/>
      <w:lang w:val="en-US"/>
      <w14:ligatures w14:val="none"/>
    </w:rPr>
  </w:style>
  <w:style w:type="paragraph" w:styleId="TOCHeading">
    <w:name w:val="TOC Heading"/>
    <w:basedOn w:val="Heading1"/>
    <w:next w:val="Normal"/>
    <w:uiPriority w:val="39"/>
    <w:unhideWhenUsed/>
    <w:qFormat/>
    <w:rsid w:val="00A64513"/>
    <w:pPr>
      <w:spacing w:before="240" w:after="0"/>
      <w:outlineLvl w:val="9"/>
    </w:pPr>
    <w:rPr>
      <w:sz w:val="32"/>
      <w:szCs w:val="32"/>
    </w:rPr>
  </w:style>
  <w:style w:type="paragraph" w:styleId="TOC1">
    <w:name w:val="toc 1"/>
    <w:basedOn w:val="Normal"/>
    <w:next w:val="Normal"/>
    <w:autoRedefine/>
    <w:uiPriority w:val="39"/>
    <w:unhideWhenUsed/>
    <w:rsid w:val="00794A8E"/>
    <w:pPr>
      <w:widowControl w:val="0"/>
      <w:autoSpaceDE w:val="0"/>
      <w:autoSpaceDN w:val="0"/>
      <w:spacing w:after="100" w:line="240" w:lineRule="auto"/>
    </w:pPr>
    <w:rPr>
      <w:rFonts w:ascii="Verdana" w:eastAsia="Verdana" w:hAnsi="Verdana" w:cs="Verdana"/>
      <w:lang w:val="en-US"/>
    </w:rPr>
  </w:style>
  <w:style w:type="character" w:styleId="Hyperlink">
    <w:name w:val="Hyperlink"/>
    <w:basedOn w:val="DefaultParagraphFont"/>
    <w:uiPriority w:val="99"/>
    <w:unhideWhenUsed/>
    <w:rsid w:val="00794A8E"/>
    <w:rPr>
      <w:color w:val="0563C1" w:themeColor="hyperlink"/>
      <w:u w:val="single"/>
    </w:rPr>
  </w:style>
  <w:style w:type="paragraph" w:styleId="TOC2">
    <w:name w:val="toc 2"/>
    <w:basedOn w:val="Normal"/>
    <w:next w:val="Normal"/>
    <w:autoRedefine/>
    <w:uiPriority w:val="39"/>
    <w:unhideWhenUsed/>
    <w:rsid w:val="00794A8E"/>
    <w:pPr>
      <w:widowControl w:val="0"/>
      <w:tabs>
        <w:tab w:val="left" w:pos="960"/>
        <w:tab w:val="right" w:leader="dot" w:pos="9204"/>
      </w:tabs>
      <w:autoSpaceDE w:val="0"/>
      <w:autoSpaceDN w:val="0"/>
      <w:spacing w:after="100" w:line="240" w:lineRule="auto"/>
      <w:ind w:left="709" w:hanging="259"/>
    </w:pPr>
    <w:rPr>
      <w:rFonts w:ascii="Times New Roman" w:eastAsia="Verdana" w:hAnsi="Times New Roman" w:cs="Times New Roman"/>
      <w:noProof/>
      <w:lang w:val="en-US"/>
    </w:rPr>
  </w:style>
  <w:style w:type="paragraph" w:styleId="TOC3">
    <w:name w:val="toc 3"/>
    <w:basedOn w:val="Normal"/>
    <w:next w:val="Normal"/>
    <w:autoRedefine/>
    <w:uiPriority w:val="39"/>
    <w:unhideWhenUsed/>
    <w:rsid w:val="00794A8E"/>
    <w:pPr>
      <w:widowControl w:val="0"/>
      <w:tabs>
        <w:tab w:val="left" w:pos="1200"/>
        <w:tab w:val="right" w:leader="dot" w:pos="9204"/>
      </w:tabs>
      <w:autoSpaceDE w:val="0"/>
      <w:autoSpaceDN w:val="0"/>
      <w:spacing w:after="100" w:line="240" w:lineRule="auto"/>
      <w:ind w:left="993" w:hanging="553"/>
    </w:pPr>
    <w:rPr>
      <w:rFonts w:ascii="Times New Roman" w:eastAsia="Verdana" w:hAnsi="Times New Roman" w:cs="Times New Roman"/>
      <w:noProof/>
      <w:lang w:val="en-US"/>
    </w:rPr>
  </w:style>
  <w:style w:type="character" w:styleId="UnresolvedMention">
    <w:name w:val="Unresolved Mention"/>
    <w:basedOn w:val="DefaultParagraphFont"/>
    <w:uiPriority w:val="99"/>
    <w:semiHidden/>
    <w:unhideWhenUsed/>
    <w:rsid w:val="005F61B7"/>
    <w:rPr>
      <w:color w:val="605E5C"/>
      <w:shd w:val="clear" w:color="auto" w:fill="E1DFDD"/>
    </w:rPr>
  </w:style>
  <w:style w:type="table" w:styleId="TableGrid">
    <w:name w:val="Table Grid"/>
    <w:basedOn w:val="TableNormal"/>
    <w:uiPriority w:val="39"/>
    <w:rsid w:val="005F61B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64513"/>
    <w:rPr>
      <w:b/>
      <w:bCs/>
    </w:rPr>
  </w:style>
  <w:style w:type="character" w:styleId="Emphasis">
    <w:name w:val="Emphasis"/>
    <w:basedOn w:val="DefaultParagraphFont"/>
    <w:uiPriority w:val="20"/>
    <w:qFormat/>
    <w:rsid w:val="00A64513"/>
    <w:rPr>
      <w:i/>
      <w:iCs/>
    </w:rPr>
  </w:style>
  <w:style w:type="paragraph" w:styleId="Caption">
    <w:name w:val="caption"/>
    <w:basedOn w:val="Normal"/>
    <w:next w:val="Normal"/>
    <w:uiPriority w:val="35"/>
    <w:semiHidden/>
    <w:unhideWhenUsed/>
    <w:qFormat/>
    <w:rsid w:val="00A64513"/>
    <w:pPr>
      <w:spacing w:after="200" w:line="240" w:lineRule="auto"/>
    </w:pPr>
    <w:rPr>
      <w:i/>
      <w:iCs/>
      <w:color w:val="44546A" w:themeColor="text2"/>
      <w:sz w:val="18"/>
      <w:szCs w:val="18"/>
    </w:rPr>
  </w:style>
  <w:style w:type="paragraph" w:styleId="NoSpacing">
    <w:name w:val="No Spacing"/>
    <w:uiPriority w:val="1"/>
    <w:qFormat/>
    <w:rsid w:val="00A64513"/>
    <w:pPr>
      <w:spacing w:after="0" w:line="240" w:lineRule="auto"/>
    </w:pPr>
  </w:style>
  <w:style w:type="character" w:styleId="SubtleEmphasis">
    <w:name w:val="Subtle Emphasis"/>
    <w:basedOn w:val="DefaultParagraphFont"/>
    <w:uiPriority w:val="19"/>
    <w:qFormat/>
    <w:rsid w:val="00A64513"/>
    <w:rPr>
      <w:i/>
      <w:iCs/>
      <w:color w:val="404040" w:themeColor="text1" w:themeTint="BF"/>
    </w:rPr>
  </w:style>
  <w:style w:type="character" w:styleId="SubtleReference">
    <w:name w:val="Subtle Reference"/>
    <w:basedOn w:val="DefaultParagraphFont"/>
    <w:uiPriority w:val="31"/>
    <w:qFormat/>
    <w:rsid w:val="00A64513"/>
    <w:rPr>
      <w:smallCaps/>
      <w:color w:val="5A5A5A" w:themeColor="text1" w:themeTint="A5"/>
    </w:rPr>
  </w:style>
  <w:style w:type="character" w:styleId="BookTitle">
    <w:name w:val="Book Title"/>
    <w:basedOn w:val="DefaultParagraphFont"/>
    <w:uiPriority w:val="33"/>
    <w:qFormat/>
    <w:rsid w:val="00A64513"/>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A4563-3919-469D-95CF-ECB22DBD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20</Pages>
  <Words>6558</Words>
  <Characters>35349</Characters>
  <Application>Microsoft Office Word</Application>
  <DocSecurity>0</DocSecurity>
  <Lines>883</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Vikram Kumaar</dc:creator>
  <cp:keywords/>
  <dc:description/>
  <cp:lastModifiedBy>iiipi.research@icai.in</cp:lastModifiedBy>
  <cp:revision>9</cp:revision>
  <dcterms:created xsi:type="dcterms:W3CDTF">2025-12-10T05:45:00Z</dcterms:created>
  <dcterms:modified xsi:type="dcterms:W3CDTF">2025-12-19T05:31:00Z</dcterms:modified>
</cp:coreProperties>
</file>